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6916">
      <w:pPr>
        <w:widowControl/>
        <w:spacing w:line="560" w:lineRule="exact"/>
        <w:ind w:firstLine="880"/>
        <w:jc w:val="center"/>
        <w:rPr>
          <w:rFonts w:eastAsia="方正公文小标宋" w:cs="方正公文小标宋"/>
          <w:sz w:val="44"/>
          <w:szCs w:val="44"/>
        </w:rPr>
      </w:pPr>
    </w:p>
    <w:p w14:paraId="3DF15608">
      <w:pPr>
        <w:snapToGrid w:val="0"/>
        <w:spacing w:line="590" w:lineRule="exact"/>
        <w:ind w:firstLine="0" w:firstLineChars="0"/>
        <w:jc w:val="center"/>
        <w:rPr>
          <w:rFonts w:eastAsia="方正小标宋简体" w:cs="方正小标宋_GBK"/>
          <w:color w:val="auto"/>
          <w:kern w:val="2"/>
          <w:sz w:val="44"/>
          <w:szCs w:val="36"/>
        </w:rPr>
      </w:pPr>
      <w:r>
        <w:rPr>
          <w:rFonts w:eastAsia="仿宋_GB2312"/>
          <w:color w:val="auto"/>
          <w:sz w:val="44"/>
          <w:szCs w:val="44"/>
        </w:rPr>
        <w:t>202</w:t>
      </w:r>
      <w:r>
        <w:rPr>
          <w:rFonts w:hint="eastAsia" w:eastAsia="仿宋_GB2312"/>
          <w:color w:val="auto"/>
          <w:sz w:val="44"/>
          <w:szCs w:val="44"/>
        </w:rPr>
        <w:t>4</w:t>
      </w:r>
      <w:r>
        <w:rPr>
          <w:rFonts w:hint="eastAsia" w:eastAsia="方正小标宋简体" w:cs="方正小标宋_GBK"/>
          <w:color w:val="auto"/>
          <w:kern w:val="2"/>
          <w:sz w:val="44"/>
          <w:szCs w:val="36"/>
        </w:rPr>
        <w:t>年南京市供销合作总社</w:t>
      </w:r>
      <w:bookmarkStart w:id="0" w:name="_Toc28538"/>
      <w:bookmarkStart w:id="1" w:name="_Toc21423"/>
      <w:bookmarkStart w:id="2" w:name="_Toc25814"/>
      <w:bookmarkStart w:id="3" w:name="_Toc23420"/>
      <w:bookmarkStart w:id="4" w:name="_Toc23052"/>
      <w:bookmarkStart w:id="5" w:name="_Toc9161"/>
      <w:bookmarkStart w:id="6" w:name="_Toc32654"/>
      <w:bookmarkStart w:id="7" w:name="_Toc17425"/>
      <w:bookmarkStart w:id="8" w:name="_Toc491"/>
    </w:p>
    <w:p w14:paraId="7CCBD2BD">
      <w:pPr>
        <w:snapToGrid w:val="0"/>
        <w:spacing w:line="590" w:lineRule="exact"/>
        <w:ind w:firstLine="0" w:firstLineChars="0"/>
        <w:jc w:val="center"/>
        <w:rPr>
          <w:rFonts w:eastAsia="方正小标宋简体" w:cs="方正小标宋_GBK"/>
          <w:color w:val="auto"/>
          <w:kern w:val="2"/>
          <w:sz w:val="44"/>
          <w:szCs w:val="36"/>
        </w:rPr>
      </w:pPr>
      <w:r>
        <w:rPr>
          <w:rFonts w:hint="eastAsia" w:eastAsia="方正小标宋简体" w:cs="方正小标宋_GBK"/>
          <w:color w:val="auto"/>
          <w:kern w:val="2"/>
          <w:sz w:val="44"/>
          <w:szCs w:val="36"/>
        </w:rPr>
        <w:t>部门整体绩效自评价报告</w:t>
      </w:r>
      <w:bookmarkEnd w:id="0"/>
      <w:bookmarkEnd w:id="1"/>
      <w:bookmarkEnd w:id="2"/>
      <w:bookmarkEnd w:id="3"/>
      <w:bookmarkEnd w:id="4"/>
      <w:bookmarkEnd w:id="5"/>
      <w:bookmarkEnd w:id="6"/>
      <w:bookmarkEnd w:id="7"/>
      <w:bookmarkEnd w:id="8"/>
    </w:p>
    <w:p w14:paraId="2FB19926">
      <w:pPr>
        <w:snapToGrid w:val="0"/>
        <w:spacing w:line="590" w:lineRule="exact"/>
        <w:ind w:firstLine="0" w:firstLineChars="0"/>
        <w:jc w:val="center"/>
        <w:rPr>
          <w:rFonts w:eastAsia="方正小标宋_GBK" w:cs="方正小标宋_GBK"/>
          <w:color w:val="auto"/>
          <w:kern w:val="2"/>
          <w:sz w:val="44"/>
          <w:szCs w:val="36"/>
        </w:rPr>
      </w:pPr>
    </w:p>
    <w:p w14:paraId="19D7FC93">
      <w:pPr>
        <w:ind w:firstLine="640"/>
        <w:rPr>
          <w:rFonts w:eastAsia="方正仿宋_GBK"/>
          <w:color w:val="auto"/>
          <w:kern w:val="2"/>
          <w:szCs w:val="24"/>
        </w:rPr>
      </w:pPr>
      <w:r>
        <w:rPr>
          <w:rFonts w:hint="eastAsia" w:eastAsia="仿宋_GB2312"/>
          <w:szCs w:val="32"/>
        </w:rPr>
        <w:t>为持</w:t>
      </w:r>
      <w:r>
        <w:rPr>
          <w:rFonts w:eastAsia="仿宋_GB2312"/>
          <w:szCs w:val="32"/>
        </w:rPr>
        <w:t>续提高绩效管理质量，提升</w:t>
      </w:r>
      <w:r>
        <w:rPr>
          <w:rFonts w:hint="eastAsia" w:eastAsia="仿宋_GB2312"/>
          <w:szCs w:val="32"/>
        </w:rPr>
        <w:t>部门</w:t>
      </w:r>
      <w:r>
        <w:rPr>
          <w:rFonts w:eastAsia="仿宋_GB2312"/>
          <w:szCs w:val="32"/>
        </w:rPr>
        <w:t>整体预算绩效管理水平，</w:t>
      </w:r>
      <w:r>
        <w:rPr>
          <w:rFonts w:hint="eastAsia" w:eastAsia="仿宋_GB2312"/>
          <w:szCs w:val="32"/>
        </w:rPr>
        <w:t>加</w:t>
      </w:r>
      <w:r>
        <w:rPr>
          <w:rFonts w:eastAsia="仿宋_GB2312"/>
          <w:szCs w:val="32"/>
        </w:rPr>
        <w:t>强</w:t>
      </w:r>
      <w:r>
        <w:rPr>
          <w:rFonts w:hint="eastAsia" w:eastAsia="仿宋_GB2312"/>
          <w:szCs w:val="32"/>
        </w:rPr>
        <w:t>部门</w:t>
      </w:r>
      <w:r>
        <w:rPr>
          <w:rFonts w:eastAsia="仿宋_GB2312"/>
          <w:szCs w:val="32"/>
        </w:rPr>
        <w:t>预算管理，提高</w:t>
      </w:r>
      <w:r>
        <w:rPr>
          <w:rFonts w:hint="eastAsia" w:eastAsia="仿宋_GB2312"/>
          <w:szCs w:val="32"/>
        </w:rPr>
        <w:t>财</w:t>
      </w:r>
      <w:r>
        <w:rPr>
          <w:rFonts w:eastAsia="仿宋_GB2312"/>
          <w:szCs w:val="32"/>
        </w:rPr>
        <w:t>政资金使用效能，保障单位更好地履职尽责，根据</w:t>
      </w:r>
      <w:r>
        <w:rPr>
          <w:rFonts w:hint="eastAsia" w:eastAsia="仿宋_GB2312"/>
          <w:szCs w:val="32"/>
        </w:rPr>
        <w:t>市财政局</w:t>
      </w:r>
      <w:r>
        <w:rPr>
          <w:rFonts w:eastAsia="仿宋_GB2312"/>
          <w:szCs w:val="32"/>
        </w:rPr>
        <w:t>《</w:t>
      </w:r>
      <w:r>
        <w:rPr>
          <w:rFonts w:hint="eastAsia" w:eastAsia="仿宋_GB2312"/>
          <w:szCs w:val="32"/>
        </w:rPr>
        <w:t>关于开展</w:t>
      </w:r>
      <w:r>
        <w:rPr>
          <w:rFonts w:hint="eastAsia" w:eastAsia="仿宋_GB2312"/>
          <w:color w:val="auto"/>
        </w:rPr>
        <w:t>2025</w:t>
      </w:r>
      <w:r>
        <w:rPr>
          <w:rFonts w:hint="eastAsia" w:eastAsia="仿宋_GB2312"/>
          <w:szCs w:val="32"/>
        </w:rPr>
        <w:t>年度预算绩效信息公开工作的通知</w:t>
      </w:r>
      <w:r>
        <w:rPr>
          <w:rFonts w:eastAsia="仿宋_GB2312"/>
          <w:szCs w:val="32"/>
        </w:rPr>
        <w:t>》</w:t>
      </w:r>
      <w:r>
        <w:rPr>
          <w:rFonts w:hint="eastAsia" w:eastAsia="仿宋_GB2312"/>
          <w:szCs w:val="32"/>
        </w:rPr>
        <w:t>和《关于印发</w:t>
      </w:r>
      <w:r>
        <w:rPr>
          <w:rFonts w:hint="eastAsia" w:eastAsia="仿宋_GB2312"/>
          <w:color w:val="auto"/>
        </w:rPr>
        <w:t>2025</w:t>
      </w:r>
      <w:r>
        <w:rPr>
          <w:rFonts w:hint="eastAsia" w:eastAsia="仿宋_GB2312"/>
          <w:szCs w:val="32"/>
        </w:rPr>
        <w:t>年南京市市级预算部门（单位）预算绩效管理责任清单的通知》</w:t>
      </w:r>
      <w:r>
        <w:rPr>
          <w:rFonts w:eastAsia="仿宋_GB2312"/>
          <w:szCs w:val="32"/>
        </w:rPr>
        <w:t>要求，我单位</w:t>
      </w:r>
      <w:r>
        <w:rPr>
          <w:rFonts w:hint="eastAsia" w:eastAsia="仿宋_GB2312"/>
          <w:szCs w:val="32"/>
        </w:rPr>
        <w:t>对</w:t>
      </w:r>
      <w:r>
        <w:rPr>
          <w:rFonts w:hint="eastAsia" w:eastAsia="仿宋_GB2312"/>
          <w:color w:val="auto"/>
        </w:rPr>
        <w:t>2024</w:t>
      </w:r>
      <w:r>
        <w:rPr>
          <w:rFonts w:hint="eastAsia" w:eastAsia="仿宋_GB2312"/>
          <w:szCs w:val="32"/>
        </w:rPr>
        <w:t>年度</w:t>
      </w:r>
      <w:r>
        <w:rPr>
          <w:rFonts w:eastAsia="仿宋_GB2312"/>
          <w:szCs w:val="32"/>
        </w:rPr>
        <w:t>部门</w:t>
      </w:r>
      <w:r>
        <w:rPr>
          <w:rFonts w:hint="eastAsia" w:eastAsia="仿宋_GB2312"/>
          <w:szCs w:val="32"/>
        </w:rPr>
        <w:t>整</w:t>
      </w:r>
      <w:r>
        <w:rPr>
          <w:rFonts w:eastAsia="仿宋_GB2312"/>
          <w:szCs w:val="32"/>
        </w:rPr>
        <w:t>体预算绩效</w:t>
      </w:r>
      <w:r>
        <w:rPr>
          <w:rFonts w:hint="eastAsia" w:eastAsia="仿宋_GB2312"/>
          <w:szCs w:val="32"/>
        </w:rPr>
        <w:t>进行了</w:t>
      </w:r>
      <w:r>
        <w:rPr>
          <w:rFonts w:eastAsia="仿宋_GB2312"/>
          <w:szCs w:val="32"/>
        </w:rPr>
        <w:t>评价，</w:t>
      </w:r>
      <w:r>
        <w:rPr>
          <w:rFonts w:hint="eastAsia" w:eastAsia="仿宋_GB2312"/>
          <w:szCs w:val="32"/>
        </w:rPr>
        <w:t>现</w:t>
      </w:r>
      <w:r>
        <w:rPr>
          <w:rFonts w:eastAsia="仿宋_GB2312"/>
          <w:szCs w:val="32"/>
        </w:rPr>
        <w:t>将</w:t>
      </w:r>
      <w:r>
        <w:rPr>
          <w:rFonts w:hint="eastAsia" w:eastAsia="仿宋_GB2312"/>
          <w:szCs w:val="32"/>
        </w:rPr>
        <w:t>评</w:t>
      </w:r>
      <w:r>
        <w:rPr>
          <w:rFonts w:eastAsia="仿宋_GB2312"/>
          <w:szCs w:val="32"/>
        </w:rPr>
        <w:t>价情况报告如下</w:t>
      </w:r>
      <w:r>
        <w:rPr>
          <w:rFonts w:hint="eastAsia" w:eastAsia="仿宋_GB2312"/>
          <w:szCs w:val="32"/>
        </w:rPr>
        <w:t>：</w:t>
      </w:r>
    </w:p>
    <w:p w14:paraId="1F56961F">
      <w:pPr>
        <w:pStyle w:val="2"/>
        <w:keepNext w:val="0"/>
        <w:keepLines w:val="0"/>
        <w:spacing w:line="590" w:lineRule="exact"/>
        <w:ind w:firstLine="640"/>
        <w:jc w:val="left"/>
        <w:rPr>
          <w:rFonts w:eastAsia="方正黑体_GBK"/>
          <w:b w:val="0"/>
          <w:color w:val="auto"/>
          <w:szCs w:val="48"/>
        </w:rPr>
      </w:pPr>
      <w:bookmarkStart w:id="9" w:name="_Toc170467957"/>
      <w:r>
        <w:rPr>
          <w:rFonts w:hint="eastAsia" w:eastAsia="方正黑体_GBK"/>
          <w:b w:val="0"/>
          <w:color w:val="auto"/>
          <w:szCs w:val="48"/>
        </w:rPr>
        <w:t>一、部门概况</w:t>
      </w:r>
      <w:bookmarkEnd w:id="9"/>
    </w:p>
    <w:p w14:paraId="4846F190">
      <w:pPr>
        <w:spacing w:line="590" w:lineRule="exact"/>
        <w:ind w:firstLine="640"/>
        <w:rPr>
          <w:rFonts w:ascii="楷体_GB2312" w:eastAsia="楷体_GB2312"/>
        </w:rPr>
      </w:pPr>
      <w:bookmarkStart w:id="10" w:name="_Toc170467958"/>
      <w:r>
        <w:rPr>
          <w:rFonts w:hint="eastAsia" w:ascii="楷体_GB2312" w:eastAsia="楷体_GB2312"/>
        </w:rPr>
        <w:t>（一）部门基本情况</w:t>
      </w:r>
      <w:bookmarkEnd w:id="10"/>
    </w:p>
    <w:p w14:paraId="4BD842F9">
      <w:pPr>
        <w:spacing w:line="590" w:lineRule="exact"/>
        <w:ind w:firstLine="643"/>
        <w:rPr>
          <w:b/>
        </w:rPr>
      </w:pPr>
      <w:bookmarkStart w:id="11" w:name="_Toc139022776"/>
      <w:r>
        <w:rPr>
          <w:rFonts w:hint="eastAsia"/>
          <w:b/>
        </w:rPr>
        <w:t>1.供销合作社</w:t>
      </w:r>
      <w:bookmarkEnd w:id="11"/>
      <w:r>
        <w:rPr>
          <w:rFonts w:hint="eastAsia"/>
          <w:b/>
        </w:rPr>
        <w:t>概况</w:t>
      </w:r>
    </w:p>
    <w:p w14:paraId="165D116E">
      <w:pPr>
        <w:spacing w:line="590" w:lineRule="exact"/>
        <w:ind w:firstLine="640"/>
        <w:rPr>
          <w:rFonts w:eastAsia="仿宋_GB2312"/>
          <w:color w:val="auto"/>
        </w:rPr>
      </w:pPr>
      <w:r>
        <w:rPr>
          <w:rFonts w:hint="eastAsia" w:eastAsia="仿宋_GB2312"/>
          <w:color w:val="auto"/>
        </w:rPr>
        <w:t>《中共中央、国务院关于深化供销合作社综合改革的决定》（中发〔2015〕11号）文件指出：“供销合作社是为农服务的合作经济组织，是党和政府做好‘三农’工作的重要载体”。2024年11月，在中华全国供销合作总社成立70周年之际，习近平总书记对供销合作社工作作出重要指示，强调指出供销合作社要认真践行新发展理念，扎根农业农村，聚焦主责主业，深化综合改革，强化机制创新，持续打造服务农民生产生活和促进现代农业发展的综合平台，当好党和政府密切联系农民群众的桥梁纽带。习近平总书记重要指示为新时代供销合作事业指明了前进方向、提供了根本遵循。</w:t>
      </w:r>
    </w:p>
    <w:p w14:paraId="3D8B954D">
      <w:pPr>
        <w:spacing w:line="590" w:lineRule="exact"/>
        <w:ind w:firstLine="643"/>
        <w:rPr>
          <w:b/>
        </w:rPr>
      </w:pPr>
      <w:r>
        <w:rPr>
          <w:rFonts w:hint="eastAsia"/>
          <w:b/>
        </w:rPr>
        <w:t>2.部门主要职能</w:t>
      </w:r>
    </w:p>
    <w:p w14:paraId="28C26C1B">
      <w:pPr>
        <w:spacing w:line="590" w:lineRule="exact"/>
        <w:ind w:firstLine="640"/>
        <w:rPr>
          <w:rFonts w:eastAsia="仿宋_GB2312"/>
          <w:color w:val="auto"/>
        </w:rPr>
      </w:pPr>
      <w:r>
        <w:rPr>
          <w:rFonts w:hint="eastAsia" w:eastAsia="仿宋_GB2312"/>
          <w:color w:val="auto"/>
        </w:rPr>
        <w:t>南京市供销合作总社是全市供销合作社联合体和市级社社有资产管理机构，为南京市直属参照公务员管理事业单位。主要职能是：</w:t>
      </w:r>
    </w:p>
    <w:p w14:paraId="0C5CFC68">
      <w:pPr>
        <w:spacing w:line="590" w:lineRule="exact"/>
        <w:ind w:firstLine="640"/>
        <w:rPr>
          <w:rFonts w:eastAsia="仿宋_GB2312"/>
          <w:color w:val="auto"/>
        </w:rPr>
      </w:pPr>
      <w:r>
        <w:rPr>
          <w:rFonts w:hint="eastAsia" w:eastAsia="仿宋_GB2312"/>
          <w:color w:val="auto"/>
        </w:rPr>
        <w:t>（1）贯彻落实国家和省、市关于农业农村农民工作的法律法规、方针政策，研究拟订全市供销合作社发展战略和规划并组织实施。</w:t>
      </w:r>
    </w:p>
    <w:p w14:paraId="0E3147C8">
      <w:pPr>
        <w:spacing w:line="590" w:lineRule="exact"/>
        <w:ind w:firstLine="640"/>
        <w:rPr>
          <w:rFonts w:eastAsia="仿宋_GB2312"/>
          <w:color w:val="auto"/>
        </w:rPr>
      </w:pPr>
      <w:r>
        <w:rPr>
          <w:rFonts w:hint="eastAsia" w:eastAsia="仿宋_GB2312"/>
          <w:color w:val="auto"/>
        </w:rPr>
        <w:t>（2）组织指导全市供销合作社系统发展农村合作经济组织，引导成员社发展农民专业合作社联合社和以农民为主体的综合性合作社。</w:t>
      </w:r>
    </w:p>
    <w:p w14:paraId="586997A8">
      <w:pPr>
        <w:spacing w:line="590" w:lineRule="exact"/>
        <w:ind w:firstLine="640"/>
        <w:rPr>
          <w:rFonts w:eastAsia="仿宋_GB2312"/>
          <w:color w:val="auto"/>
        </w:rPr>
      </w:pPr>
      <w:r>
        <w:rPr>
          <w:rFonts w:hint="eastAsia" w:eastAsia="仿宋_GB2312"/>
          <w:color w:val="auto"/>
        </w:rPr>
        <w:t>（3）参与农业社会化服务体系建设，发展城乡社区综合性为农服务平台，推动系统开展以土地托管为主要形式的农业社会化服务。</w:t>
      </w:r>
    </w:p>
    <w:p w14:paraId="19C29D4D">
      <w:pPr>
        <w:spacing w:line="590" w:lineRule="exact"/>
        <w:ind w:firstLine="640"/>
        <w:rPr>
          <w:rFonts w:eastAsia="仿宋_GB2312"/>
          <w:color w:val="auto"/>
        </w:rPr>
      </w:pPr>
      <w:r>
        <w:rPr>
          <w:rFonts w:hint="eastAsia" w:eastAsia="仿宋_GB2312"/>
          <w:color w:val="auto"/>
        </w:rPr>
        <w:t>（4）组织实施新农村现代流通网络工程和全市系统农村电子商务综合服务网络建设。负责供销社系统农产品市场建设，参与公益性农产品批发市场建设、运营和管护。</w:t>
      </w:r>
    </w:p>
    <w:p w14:paraId="4328BBB4">
      <w:pPr>
        <w:spacing w:line="590" w:lineRule="exact"/>
        <w:ind w:firstLine="640"/>
        <w:rPr>
          <w:rFonts w:eastAsia="仿宋_GB2312"/>
          <w:color w:val="auto"/>
        </w:rPr>
      </w:pPr>
      <w:r>
        <w:rPr>
          <w:rFonts w:hint="eastAsia" w:eastAsia="仿宋_GB2312"/>
          <w:color w:val="auto"/>
        </w:rPr>
        <w:t>（5）根据市政府委托，对重要农业生产资料、重要农产品及其他商品的生产、经营、储备进行组织、协调和管理。</w:t>
      </w:r>
    </w:p>
    <w:p w14:paraId="66D7E386">
      <w:pPr>
        <w:spacing w:line="590" w:lineRule="exact"/>
        <w:ind w:firstLine="640"/>
        <w:rPr>
          <w:rFonts w:eastAsia="仿宋_GB2312"/>
          <w:color w:val="auto"/>
        </w:rPr>
      </w:pPr>
      <w:r>
        <w:rPr>
          <w:rFonts w:hint="eastAsia" w:eastAsia="仿宋_GB2312"/>
          <w:color w:val="auto"/>
        </w:rPr>
        <w:t>（6）指导全市供销合作社的组织建设和制度建设。组织实施对成员社的工作考核及资产监督，协调成员社间关系。维护供销合作社合法权益。开展行业对外交流与合作。</w:t>
      </w:r>
    </w:p>
    <w:p w14:paraId="55BE0E58">
      <w:pPr>
        <w:spacing w:line="590" w:lineRule="exact"/>
        <w:ind w:firstLine="640"/>
        <w:rPr>
          <w:rFonts w:eastAsia="仿宋_GB2312"/>
          <w:color w:val="auto"/>
        </w:rPr>
      </w:pPr>
      <w:r>
        <w:rPr>
          <w:rFonts w:hint="eastAsia" w:eastAsia="仿宋_GB2312"/>
          <w:color w:val="auto"/>
        </w:rPr>
        <w:t>（7）负责制定全市供销合作社系统人才队伍建设规划和教育培训规划，组织实施供销合作社从业人员、农民社员和农民经纪人技能教育培训。</w:t>
      </w:r>
    </w:p>
    <w:p w14:paraId="1C2BFC3E">
      <w:pPr>
        <w:spacing w:line="590" w:lineRule="exact"/>
        <w:ind w:firstLine="640"/>
        <w:rPr>
          <w:rFonts w:eastAsia="仿宋_GB2312"/>
          <w:color w:val="auto"/>
        </w:rPr>
      </w:pPr>
      <w:r>
        <w:rPr>
          <w:rFonts w:hint="eastAsia" w:eastAsia="仿宋_GB2312"/>
          <w:color w:val="auto"/>
        </w:rPr>
        <w:t>（8）依法监管社有资产，确保社有资产保值增值。发展社有企业，完善治理结构，推进联合与合作。</w:t>
      </w:r>
    </w:p>
    <w:p w14:paraId="3570838B">
      <w:pPr>
        <w:spacing w:line="590" w:lineRule="exact"/>
        <w:ind w:firstLine="640"/>
        <w:rPr>
          <w:rFonts w:eastAsia="仿宋_GB2312"/>
          <w:color w:val="auto"/>
        </w:rPr>
      </w:pPr>
      <w:r>
        <w:rPr>
          <w:rFonts w:hint="eastAsia" w:eastAsia="仿宋_GB2312"/>
          <w:color w:val="auto"/>
        </w:rPr>
        <w:t>（</w:t>
      </w:r>
      <w:r>
        <w:rPr>
          <w:rFonts w:hint="eastAsia" w:eastAsia="仿宋_GB2312"/>
          <w:color w:val="auto"/>
          <w:szCs w:val="32"/>
        </w:rPr>
        <w:t>9</w:t>
      </w:r>
      <w:r>
        <w:rPr>
          <w:rFonts w:hint="eastAsia" w:eastAsia="仿宋_GB2312"/>
          <w:color w:val="auto"/>
        </w:rPr>
        <w:t>）承办市政府交办的其他事项。</w:t>
      </w:r>
    </w:p>
    <w:p w14:paraId="3A578D19">
      <w:pPr>
        <w:spacing w:line="590" w:lineRule="exact"/>
        <w:ind w:firstLine="643"/>
        <w:rPr>
          <w:b/>
        </w:rPr>
      </w:pPr>
      <w:r>
        <w:rPr>
          <w:rFonts w:hint="eastAsia"/>
          <w:b/>
        </w:rPr>
        <w:t>3.内设机构和人员情况</w:t>
      </w:r>
    </w:p>
    <w:p w14:paraId="421D418B">
      <w:pPr>
        <w:spacing w:line="590" w:lineRule="exact"/>
        <w:ind w:firstLine="640"/>
        <w:rPr>
          <w:rFonts w:eastAsia="仿宋_GB2312"/>
          <w:color w:val="auto"/>
        </w:rPr>
      </w:pPr>
      <w:r>
        <w:rPr>
          <w:rFonts w:hint="eastAsia" w:eastAsia="仿宋_GB2312"/>
          <w:color w:val="auto"/>
        </w:rPr>
        <w:t>根据部门“三定”方案，</w:t>
      </w:r>
      <w:r>
        <w:rPr>
          <w:rFonts w:hint="eastAsia" w:eastAsia="仿宋_GB2312"/>
          <w:szCs w:val="32"/>
        </w:rPr>
        <w:t>南京市供销合作总社内设机构包括：办公室、改革发展处、合作事业处、企业管理处、财务管理处、组织人事处、监事会办公室，另设机关党委。</w:t>
      </w:r>
      <w:r>
        <w:rPr>
          <w:rFonts w:hint="eastAsia" w:eastAsia="仿宋_GB2312"/>
          <w:color w:val="auto"/>
        </w:rPr>
        <w:t>各处室职责如下：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6652"/>
      </w:tblGrid>
      <w:tr w14:paraId="7678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3" w:type="dxa"/>
          </w:tcPr>
          <w:p w14:paraId="7DC6E9D2">
            <w:pPr>
              <w:pStyle w:val="9"/>
              <w:adjustRightInd w:val="0"/>
              <w:spacing w:after="0" w:line="300" w:lineRule="exact"/>
              <w:ind w:firstLine="0" w:firstLineChars="0"/>
              <w:rPr>
                <w:rFonts w:eastAsia="仿宋_GB2312"/>
                <w:kern w:val="0"/>
                <w:sz w:val="24"/>
              </w:rPr>
            </w:pPr>
            <w:r>
              <w:rPr>
                <w:rFonts w:eastAsia="仿宋_GB2312"/>
                <w:kern w:val="0"/>
                <w:sz w:val="24"/>
              </w:rPr>
              <w:t>内设处室名称</w:t>
            </w:r>
          </w:p>
        </w:tc>
        <w:tc>
          <w:tcPr>
            <w:tcW w:w="6652" w:type="dxa"/>
          </w:tcPr>
          <w:p w14:paraId="7D96DBBE">
            <w:pPr>
              <w:pStyle w:val="9"/>
              <w:adjustRightInd w:val="0"/>
              <w:spacing w:after="0" w:line="300" w:lineRule="exact"/>
              <w:ind w:firstLine="0" w:firstLineChars="0"/>
              <w:rPr>
                <w:rFonts w:eastAsia="仿宋_GB2312"/>
                <w:kern w:val="0"/>
                <w:sz w:val="24"/>
              </w:rPr>
            </w:pPr>
            <w:r>
              <w:rPr>
                <w:rFonts w:eastAsia="仿宋_GB2312"/>
                <w:kern w:val="0"/>
                <w:sz w:val="24"/>
              </w:rPr>
              <w:t>主要职能</w:t>
            </w:r>
          </w:p>
        </w:tc>
      </w:tr>
      <w:tr w14:paraId="29D7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66F3B6CB">
            <w:pPr>
              <w:pStyle w:val="29"/>
              <w:overflowPunct w:val="0"/>
              <w:jc w:val="both"/>
              <w:rPr>
                <w:rFonts w:hint="default" w:eastAsia="仿宋_GB2312"/>
                <w:color w:val="auto"/>
                <w:szCs w:val="24"/>
              </w:rPr>
            </w:pPr>
            <w:r>
              <w:rPr>
                <w:rFonts w:eastAsia="仿宋_GB2312"/>
                <w:color w:val="auto"/>
                <w:szCs w:val="24"/>
              </w:rPr>
              <w:t>办公室</w:t>
            </w:r>
          </w:p>
        </w:tc>
        <w:tc>
          <w:tcPr>
            <w:tcW w:w="6652" w:type="dxa"/>
            <w:vAlign w:val="center"/>
          </w:tcPr>
          <w:p w14:paraId="5A89854B">
            <w:pPr>
              <w:pStyle w:val="29"/>
              <w:overflowPunct w:val="0"/>
              <w:jc w:val="both"/>
              <w:rPr>
                <w:rFonts w:hint="default" w:eastAsia="仿宋_GB2312"/>
                <w:color w:val="auto"/>
                <w:szCs w:val="24"/>
              </w:rPr>
            </w:pPr>
            <w:r>
              <w:rPr>
                <w:rFonts w:eastAsia="仿宋_GB2312"/>
                <w:color w:val="auto"/>
                <w:szCs w:val="24"/>
              </w:rPr>
              <w:t>负责文电、会务、机要、档案等机关日常运转工作；承担信息报送、宣传报道、政（社）务公开、信访、保密等工作；负责机关日常工作的协调和督办；承担机关接待、后勤和节能减排工作。</w:t>
            </w:r>
          </w:p>
        </w:tc>
      </w:tr>
      <w:tr w14:paraId="0E5E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28685261">
            <w:pPr>
              <w:pStyle w:val="29"/>
              <w:overflowPunct w:val="0"/>
              <w:jc w:val="both"/>
              <w:rPr>
                <w:rFonts w:hint="default" w:eastAsia="仿宋_GB2312"/>
                <w:color w:val="auto"/>
                <w:szCs w:val="24"/>
              </w:rPr>
            </w:pPr>
            <w:r>
              <w:rPr>
                <w:rFonts w:eastAsia="仿宋_GB2312"/>
                <w:color w:val="auto"/>
                <w:szCs w:val="24"/>
              </w:rPr>
              <w:t>改革发展处</w:t>
            </w:r>
          </w:p>
        </w:tc>
        <w:tc>
          <w:tcPr>
            <w:tcW w:w="6652" w:type="dxa"/>
            <w:vAlign w:val="center"/>
          </w:tcPr>
          <w:p w14:paraId="0CE55DB5">
            <w:pPr>
              <w:pStyle w:val="29"/>
              <w:overflowPunct w:val="0"/>
              <w:jc w:val="both"/>
              <w:rPr>
                <w:rFonts w:hint="default" w:eastAsia="仿宋_GB2312"/>
                <w:color w:val="auto"/>
                <w:szCs w:val="24"/>
              </w:rPr>
            </w:pPr>
            <w:r>
              <w:rPr>
                <w:rFonts w:eastAsia="仿宋_GB2312"/>
                <w:color w:val="auto"/>
                <w:szCs w:val="24"/>
              </w:rPr>
              <w:t>拟订系统发展规划及年度工作计划并组织实施；组织指导新农村现代流通网络建设、系统电子商务建设；承担系统综合业绩考核工作；负责系统项目投资管理、质量安全、统计、外事、经贸工作；承担对市供销合作总社主管社团的组织协调、业务指导和监督管理等工作；对重要农业生产资料、重要农产品及其他商品的生产、经营、储备进行组织、协调和管理；推动系统开展以土地托管为主要形式的农业社会化服务。</w:t>
            </w:r>
          </w:p>
        </w:tc>
      </w:tr>
      <w:tr w14:paraId="6BC8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21951028">
            <w:pPr>
              <w:pStyle w:val="29"/>
              <w:overflowPunct w:val="0"/>
              <w:jc w:val="both"/>
              <w:rPr>
                <w:rFonts w:hint="default" w:eastAsia="仿宋_GB2312"/>
                <w:color w:val="auto"/>
                <w:szCs w:val="24"/>
              </w:rPr>
            </w:pPr>
            <w:r>
              <w:rPr>
                <w:rFonts w:eastAsia="仿宋_GB2312"/>
                <w:color w:val="auto"/>
                <w:szCs w:val="24"/>
              </w:rPr>
              <w:t>合作事业处</w:t>
            </w:r>
          </w:p>
        </w:tc>
        <w:tc>
          <w:tcPr>
            <w:tcW w:w="6652" w:type="dxa"/>
            <w:vAlign w:val="center"/>
          </w:tcPr>
          <w:p w14:paraId="3A0623DA">
            <w:pPr>
              <w:pStyle w:val="29"/>
              <w:overflowPunct w:val="0"/>
              <w:jc w:val="both"/>
              <w:rPr>
                <w:rFonts w:hint="default" w:eastAsia="仿宋_GB2312"/>
                <w:color w:val="auto"/>
                <w:szCs w:val="24"/>
              </w:rPr>
            </w:pPr>
            <w:r>
              <w:rPr>
                <w:rFonts w:eastAsia="仿宋_GB2312"/>
                <w:color w:val="auto"/>
                <w:szCs w:val="24"/>
              </w:rPr>
              <w:t>组织指导区社和基层社、综合服务社建设，引导成员社发展农民专业合作联合社、以农民为主体的综合性合作社、现代农业综合服务中心；参与发展农村合作金融服务；负责农产品经纪人培训工作；负责系统农产品市场建设及产销对接工作；统一推广使用和规范管理中国供销合作社标识。</w:t>
            </w:r>
          </w:p>
        </w:tc>
      </w:tr>
      <w:tr w14:paraId="7F70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02BACD2E">
            <w:pPr>
              <w:pStyle w:val="29"/>
              <w:overflowPunct w:val="0"/>
              <w:jc w:val="both"/>
              <w:rPr>
                <w:rFonts w:hint="default" w:eastAsia="仿宋_GB2312"/>
                <w:color w:val="auto"/>
                <w:szCs w:val="24"/>
              </w:rPr>
            </w:pPr>
            <w:r>
              <w:rPr>
                <w:rFonts w:eastAsia="仿宋_GB2312"/>
                <w:color w:val="auto"/>
                <w:szCs w:val="24"/>
              </w:rPr>
              <w:t>企业管理处</w:t>
            </w:r>
          </w:p>
        </w:tc>
        <w:tc>
          <w:tcPr>
            <w:tcW w:w="6652" w:type="dxa"/>
            <w:vAlign w:val="center"/>
          </w:tcPr>
          <w:p w14:paraId="2F6A20FB">
            <w:pPr>
              <w:pStyle w:val="29"/>
              <w:overflowPunct w:val="0"/>
              <w:jc w:val="both"/>
              <w:rPr>
                <w:rFonts w:hint="default" w:eastAsia="仿宋_GB2312"/>
                <w:color w:val="auto"/>
                <w:szCs w:val="24"/>
              </w:rPr>
            </w:pPr>
            <w:r>
              <w:rPr>
                <w:rFonts w:eastAsia="仿宋_GB2312"/>
                <w:color w:val="auto"/>
                <w:szCs w:val="24"/>
              </w:rPr>
              <w:t>拟订社有资产保值增值考核、激励和责任追究制度，并执行监督；承担市级社有产权、股权和债权的管理工作；拟订社有资产重组、整合的指导意见；负责市级投资项目的可行性研究和论证；管理市级投资企业，推进现代企业制度建设；负责市级投资企业负责人的经营考核和薪酬分配工作；承担对直属单位资产审计监督和重大财务支出、经济效益的审计调查工作；指导本级投资企业安全生产；指导系统社有企业转型升级、创新发展工作。</w:t>
            </w:r>
          </w:p>
        </w:tc>
      </w:tr>
      <w:tr w14:paraId="426B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7E5D53B9">
            <w:pPr>
              <w:pStyle w:val="29"/>
              <w:overflowPunct w:val="0"/>
              <w:jc w:val="both"/>
              <w:rPr>
                <w:rFonts w:hint="default" w:eastAsia="仿宋_GB2312"/>
                <w:color w:val="auto"/>
                <w:szCs w:val="24"/>
              </w:rPr>
            </w:pPr>
            <w:r>
              <w:rPr>
                <w:rFonts w:eastAsia="仿宋_GB2312"/>
                <w:color w:val="auto"/>
                <w:szCs w:val="24"/>
              </w:rPr>
              <w:t>财务管理处</w:t>
            </w:r>
          </w:p>
        </w:tc>
        <w:tc>
          <w:tcPr>
            <w:tcW w:w="6652" w:type="dxa"/>
            <w:vAlign w:val="center"/>
          </w:tcPr>
          <w:p w14:paraId="05F8F07E">
            <w:pPr>
              <w:pStyle w:val="29"/>
              <w:overflowPunct w:val="0"/>
              <w:jc w:val="both"/>
              <w:rPr>
                <w:rFonts w:hint="default" w:eastAsia="仿宋_GB2312"/>
                <w:color w:val="auto"/>
                <w:szCs w:val="24"/>
              </w:rPr>
            </w:pPr>
            <w:r>
              <w:rPr>
                <w:rFonts w:eastAsia="仿宋_GB2312"/>
                <w:color w:val="auto"/>
                <w:szCs w:val="24"/>
              </w:rPr>
              <w:t>编制市总社预决算和管理预算执行；编报系统财务会计报表，编写财务分析、预测经营发展趋势；承担供销社改革发展项目专项资金申报和评审考核；负责机关财务管理工作。</w:t>
            </w:r>
          </w:p>
        </w:tc>
      </w:tr>
      <w:tr w14:paraId="4043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6C56DB29">
            <w:pPr>
              <w:pStyle w:val="29"/>
              <w:overflowPunct w:val="0"/>
              <w:jc w:val="both"/>
              <w:rPr>
                <w:rFonts w:hint="default" w:eastAsia="仿宋_GB2312"/>
                <w:color w:val="auto"/>
                <w:szCs w:val="24"/>
              </w:rPr>
            </w:pPr>
            <w:r>
              <w:rPr>
                <w:rFonts w:eastAsia="仿宋_GB2312"/>
                <w:color w:val="auto"/>
                <w:szCs w:val="24"/>
              </w:rPr>
              <w:t>组织人事处</w:t>
            </w:r>
          </w:p>
        </w:tc>
        <w:tc>
          <w:tcPr>
            <w:tcW w:w="6652" w:type="dxa"/>
            <w:vAlign w:val="center"/>
          </w:tcPr>
          <w:p w14:paraId="3CE75DA8">
            <w:pPr>
              <w:pStyle w:val="29"/>
              <w:overflowPunct w:val="0"/>
              <w:jc w:val="both"/>
              <w:rPr>
                <w:rFonts w:hint="default" w:eastAsia="仿宋_GB2312"/>
                <w:color w:val="auto"/>
                <w:szCs w:val="24"/>
              </w:rPr>
            </w:pPr>
            <w:r>
              <w:rPr>
                <w:rFonts w:eastAsia="仿宋_GB2312"/>
                <w:color w:val="auto"/>
                <w:szCs w:val="24"/>
              </w:rPr>
              <w:t>负责机关机构编制、人事管理、教育培训、劳动工资等工作；负责本系统党群和直属单位领导班子建设工作；指导直属单位机构编制、人力资源管理等工作；承办全市供销合作社代表大会有关组织人事工作；负责机关并指导直属单位的离退休干部工作。</w:t>
            </w:r>
          </w:p>
        </w:tc>
      </w:tr>
      <w:tr w14:paraId="3D78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center"/>
          </w:tcPr>
          <w:p w14:paraId="2280F13B">
            <w:pPr>
              <w:pStyle w:val="29"/>
              <w:overflowPunct w:val="0"/>
              <w:jc w:val="both"/>
              <w:rPr>
                <w:rFonts w:hint="default" w:eastAsia="仿宋_GB2312"/>
                <w:color w:val="auto"/>
                <w:szCs w:val="24"/>
              </w:rPr>
            </w:pPr>
            <w:r>
              <w:rPr>
                <w:rFonts w:eastAsia="仿宋_GB2312"/>
                <w:color w:val="auto"/>
                <w:szCs w:val="24"/>
              </w:rPr>
              <w:t>监事会办公室</w:t>
            </w:r>
          </w:p>
        </w:tc>
        <w:tc>
          <w:tcPr>
            <w:tcW w:w="6652" w:type="dxa"/>
            <w:vAlign w:val="center"/>
          </w:tcPr>
          <w:p w14:paraId="66C3F21E">
            <w:pPr>
              <w:pStyle w:val="29"/>
              <w:overflowPunct w:val="0"/>
              <w:jc w:val="both"/>
              <w:rPr>
                <w:rFonts w:hint="default" w:eastAsia="仿宋_GB2312"/>
                <w:color w:val="auto"/>
                <w:szCs w:val="24"/>
              </w:rPr>
            </w:pPr>
            <w:r>
              <w:rPr>
                <w:rFonts w:eastAsia="仿宋_GB2312"/>
                <w:color w:val="auto"/>
                <w:szCs w:val="24"/>
              </w:rPr>
              <w:t>承担市供销合作总社监事会的日常工作。</w:t>
            </w:r>
          </w:p>
        </w:tc>
      </w:tr>
      <w:tr w14:paraId="6DD8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auto"/>
            <w:vAlign w:val="center"/>
          </w:tcPr>
          <w:p w14:paraId="039CC6A6">
            <w:pPr>
              <w:pStyle w:val="29"/>
              <w:overflowPunct w:val="0"/>
              <w:jc w:val="both"/>
              <w:rPr>
                <w:rFonts w:hint="default" w:eastAsia="仿宋_GB2312"/>
                <w:color w:val="auto"/>
                <w:szCs w:val="24"/>
              </w:rPr>
            </w:pPr>
            <w:r>
              <w:rPr>
                <w:rFonts w:eastAsia="仿宋_GB2312"/>
                <w:color w:val="auto"/>
                <w:szCs w:val="24"/>
              </w:rPr>
              <w:t>机关党委</w:t>
            </w:r>
          </w:p>
        </w:tc>
        <w:tc>
          <w:tcPr>
            <w:tcW w:w="6652" w:type="dxa"/>
            <w:shd w:val="clear" w:color="auto" w:fill="auto"/>
            <w:vAlign w:val="center"/>
          </w:tcPr>
          <w:p w14:paraId="469CF8F2">
            <w:pPr>
              <w:pStyle w:val="29"/>
              <w:overflowPunct w:val="0"/>
              <w:jc w:val="both"/>
              <w:rPr>
                <w:rFonts w:hint="default" w:eastAsia="仿宋_GB2312"/>
                <w:color w:val="auto"/>
                <w:szCs w:val="24"/>
              </w:rPr>
            </w:pPr>
            <w:r>
              <w:rPr>
                <w:rFonts w:eastAsia="仿宋_GB2312"/>
                <w:color w:val="auto"/>
                <w:szCs w:val="24"/>
              </w:rPr>
              <w:t>负责机关的党群和机关作风建设工作。</w:t>
            </w:r>
          </w:p>
        </w:tc>
      </w:tr>
    </w:tbl>
    <w:p w14:paraId="778A41DA">
      <w:pPr>
        <w:spacing w:line="590" w:lineRule="exact"/>
        <w:ind w:firstLine="640"/>
        <w:rPr>
          <w:rFonts w:eastAsia="仿宋_GB2312"/>
          <w:color w:val="auto"/>
        </w:rPr>
      </w:pPr>
      <w:r>
        <w:rPr>
          <w:rFonts w:hint="eastAsia" w:eastAsia="仿宋_GB2312"/>
          <w:color w:val="auto"/>
        </w:rPr>
        <w:t>本部门人员编制43名，截止2024年末实有在职人员42人，离休人员3人，退休人员43人。</w:t>
      </w:r>
    </w:p>
    <w:p w14:paraId="18D1D9EE">
      <w:pPr>
        <w:spacing w:line="590" w:lineRule="exact"/>
        <w:ind w:firstLine="643"/>
        <w:rPr>
          <w:b/>
        </w:rPr>
      </w:pPr>
      <w:r>
        <w:rPr>
          <w:rFonts w:hint="eastAsia"/>
          <w:b/>
        </w:rPr>
        <w:t>4.</w:t>
      </w:r>
      <w:r>
        <w:rPr>
          <w:rFonts w:hint="eastAsia" w:eastAsia="仿宋_GB2312"/>
          <w:b/>
          <w:color w:val="auto"/>
        </w:rPr>
        <w:t>资产情况</w:t>
      </w:r>
    </w:p>
    <w:p w14:paraId="5A3327C2">
      <w:pPr>
        <w:spacing w:line="590" w:lineRule="exact"/>
        <w:ind w:firstLine="640"/>
        <w:rPr>
          <w:rFonts w:eastAsia="仿宋_GB2312"/>
          <w:color w:val="auto"/>
        </w:rPr>
      </w:pPr>
      <w:r>
        <w:rPr>
          <w:rFonts w:hint="eastAsia" w:eastAsia="仿宋_GB2312"/>
          <w:color w:val="auto"/>
        </w:rPr>
        <w:t>截至2024年12月31日，南京市供销合作总社机关本级资产总额为43.8万元，其中：货币资金1.72万元，固定资产净值38.14万元，无形资产净值3.94万元。具体情况见下表：</w:t>
      </w:r>
    </w:p>
    <w:tbl>
      <w:tblPr>
        <w:tblStyle w:val="22"/>
        <w:tblW w:w="91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36"/>
        <w:gridCol w:w="2737"/>
        <w:gridCol w:w="2846"/>
      </w:tblGrid>
      <w:tr w14:paraId="53B0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3536" w:type="dxa"/>
            <w:vAlign w:val="center"/>
          </w:tcPr>
          <w:p w14:paraId="18929850">
            <w:pPr>
              <w:pStyle w:val="9"/>
              <w:adjustRightInd w:val="0"/>
              <w:spacing w:after="0" w:line="440" w:lineRule="exact"/>
              <w:ind w:firstLine="0" w:firstLineChars="0"/>
              <w:rPr>
                <w:rFonts w:eastAsia="仿宋_GB2312"/>
                <w:kern w:val="0"/>
                <w:sz w:val="24"/>
              </w:rPr>
            </w:pPr>
            <w:r>
              <w:rPr>
                <w:rFonts w:eastAsia="仿宋_GB2312"/>
                <w:kern w:val="0"/>
                <w:sz w:val="24"/>
              </w:rPr>
              <w:t>资产名称</w:t>
            </w:r>
          </w:p>
        </w:tc>
        <w:tc>
          <w:tcPr>
            <w:tcW w:w="2737" w:type="dxa"/>
            <w:vAlign w:val="center"/>
          </w:tcPr>
          <w:p w14:paraId="06D9A977">
            <w:pPr>
              <w:pStyle w:val="9"/>
              <w:adjustRightInd w:val="0"/>
              <w:spacing w:after="0" w:line="440" w:lineRule="exact"/>
              <w:ind w:firstLine="0" w:firstLineChars="0"/>
              <w:rPr>
                <w:rFonts w:eastAsia="仿宋_GB2312"/>
                <w:kern w:val="0"/>
                <w:sz w:val="24"/>
              </w:rPr>
            </w:pPr>
            <w:r>
              <w:rPr>
                <w:rFonts w:eastAsia="仿宋_GB2312"/>
                <w:kern w:val="0"/>
                <w:sz w:val="24"/>
              </w:rPr>
              <w:t>金额（万元）</w:t>
            </w:r>
          </w:p>
        </w:tc>
        <w:tc>
          <w:tcPr>
            <w:tcW w:w="2846" w:type="dxa"/>
            <w:vAlign w:val="center"/>
          </w:tcPr>
          <w:p w14:paraId="5E424FA9">
            <w:pPr>
              <w:pStyle w:val="9"/>
              <w:adjustRightInd w:val="0"/>
              <w:spacing w:after="0" w:line="440" w:lineRule="exact"/>
              <w:ind w:firstLine="0" w:firstLineChars="0"/>
              <w:rPr>
                <w:rFonts w:eastAsia="仿宋_GB2312"/>
                <w:kern w:val="0"/>
                <w:sz w:val="24"/>
              </w:rPr>
            </w:pPr>
            <w:r>
              <w:rPr>
                <w:rFonts w:eastAsia="仿宋_GB2312"/>
                <w:kern w:val="0"/>
                <w:sz w:val="24"/>
              </w:rPr>
              <w:t>占比</w:t>
            </w:r>
          </w:p>
        </w:tc>
      </w:tr>
      <w:tr w14:paraId="2987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3536" w:type="dxa"/>
            <w:vAlign w:val="center"/>
          </w:tcPr>
          <w:p w14:paraId="5D3E634A">
            <w:pPr>
              <w:pStyle w:val="29"/>
              <w:spacing w:line="440" w:lineRule="exact"/>
              <w:rPr>
                <w:rFonts w:hint="default" w:eastAsia="仿宋_GB2312"/>
                <w:color w:val="auto"/>
                <w:szCs w:val="24"/>
              </w:rPr>
            </w:pPr>
            <w:r>
              <w:rPr>
                <w:rFonts w:eastAsia="仿宋_GB2312"/>
                <w:color w:val="auto"/>
                <w:szCs w:val="24"/>
              </w:rPr>
              <w:t>货币资金</w:t>
            </w:r>
          </w:p>
        </w:tc>
        <w:tc>
          <w:tcPr>
            <w:tcW w:w="2737" w:type="dxa"/>
            <w:vAlign w:val="center"/>
          </w:tcPr>
          <w:p w14:paraId="47747477">
            <w:pPr>
              <w:pStyle w:val="29"/>
              <w:snapToGrid w:val="0"/>
              <w:spacing w:line="440" w:lineRule="exact"/>
              <w:rPr>
                <w:rFonts w:hint="default" w:eastAsia="仿宋_GB2312"/>
                <w:color w:val="auto"/>
                <w:szCs w:val="24"/>
              </w:rPr>
            </w:pPr>
            <w:r>
              <w:rPr>
                <w:rFonts w:eastAsia="仿宋_GB2312"/>
                <w:color w:val="auto"/>
                <w:szCs w:val="24"/>
              </w:rPr>
              <w:t>1.72</w:t>
            </w:r>
          </w:p>
        </w:tc>
        <w:tc>
          <w:tcPr>
            <w:tcW w:w="2846" w:type="dxa"/>
            <w:vAlign w:val="center"/>
          </w:tcPr>
          <w:p w14:paraId="381F38C9">
            <w:pPr>
              <w:pStyle w:val="29"/>
              <w:snapToGrid w:val="0"/>
              <w:spacing w:line="440" w:lineRule="exact"/>
              <w:rPr>
                <w:rFonts w:hint="default" w:eastAsia="仿宋_GB2312"/>
                <w:color w:val="auto"/>
                <w:szCs w:val="24"/>
              </w:rPr>
            </w:pPr>
            <w:r>
              <w:rPr>
                <w:rFonts w:eastAsia="仿宋_GB2312"/>
                <w:color w:val="auto"/>
                <w:szCs w:val="24"/>
              </w:rPr>
              <w:t>3.93%</w:t>
            </w:r>
          </w:p>
        </w:tc>
      </w:tr>
      <w:tr w14:paraId="17097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3536" w:type="dxa"/>
            <w:vAlign w:val="center"/>
          </w:tcPr>
          <w:p w14:paraId="0D227432">
            <w:pPr>
              <w:pStyle w:val="29"/>
              <w:spacing w:line="440" w:lineRule="exact"/>
              <w:rPr>
                <w:rFonts w:hint="default" w:eastAsia="仿宋_GB2312"/>
                <w:color w:val="auto"/>
                <w:szCs w:val="24"/>
              </w:rPr>
            </w:pPr>
            <w:r>
              <w:rPr>
                <w:rFonts w:eastAsia="仿宋_GB2312"/>
                <w:color w:val="auto"/>
                <w:szCs w:val="24"/>
              </w:rPr>
              <w:t>固定资产净值</w:t>
            </w:r>
          </w:p>
        </w:tc>
        <w:tc>
          <w:tcPr>
            <w:tcW w:w="2737" w:type="dxa"/>
            <w:vAlign w:val="center"/>
          </w:tcPr>
          <w:p w14:paraId="4532F50C">
            <w:pPr>
              <w:pStyle w:val="29"/>
              <w:snapToGrid w:val="0"/>
              <w:spacing w:line="440" w:lineRule="exact"/>
              <w:rPr>
                <w:rFonts w:hint="default" w:eastAsia="仿宋_GB2312"/>
                <w:color w:val="auto"/>
                <w:szCs w:val="24"/>
              </w:rPr>
            </w:pPr>
            <w:r>
              <w:rPr>
                <w:rFonts w:eastAsia="仿宋_GB2312"/>
                <w:color w:val="auto"/>
                <w:szCs w:val="24"/>
              </w:rPr>
              <w:t>38.14</w:t>
            </w:r>
          </w:p>
        </w:tc>
        <w:tc>
          <w:tcPr>
            <w:tcW w:w="2846" w:type="dxa"/>
            <w:vAlign w:val="center"/>
          </w:tcPr>
          <w:p w14:paraId="3F209F0D">
            <w:pPr>
              <w:pStyle w:val="29"/>
              <w:snapToGrid w:val="0"/>
              <w:spacing w:line="440" w:lineRule="exact"/>
              <w:rPr>
                <w:rFonts w:hint="default" w:eastAsia="仿宋_GB2312"/>
                <w:color w:val="auto"/>
                <w:szCs w:val="24"/>
              </w:rPr>
            </w:pPr>
            <w:r>
              <w:rPr>
                <w:rFonts w:eastAsia="仿宋_GB2312"/>
                <w:color w:val="auto"/>
                <w:szCs w:val="24"/>
              </w:rPr>
              <w:t>87.08%</w:t>
            </w:r>
          </w:p>
        </w:tc>
      </w:tr>
      <w:tr w14:paraId="4B730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3536" w:type="dxa"/>
            <w:vAlign w:val="center"/>
          </w:tcPr>
          <w:p w14:paraId="2CFD7E7A">
            <w:pPr>
              <w:pStyle w:val="29"/>
              <w:spacing w:line="440" w:lineRule="exact"/>
              <w:rPr>
                <w:rFonts w:hint="default" w:eastAsia="仿宋_GB2312"/>
                <w:color w:val="auto"/>
                <w:szCs w:val="24"/>
              </w:rPr>
            </w:pPr>
            <w:r>
              <w:rPr>
                <w:rFonts w:eastAsia="仿宋_GB2312"/>
                <w:color w:val="auto"/>
                <w:szCs w:val="24"/>
              </w:rPr>
              <w:t>无形资产净值</w:t>
            </w:r>
          </w:p>
        </w:tc>
        <w:tc>
          <w:tcPr>
            <w:tcW w:w="2737" w:type="dxa"/>
            <w:vAlign w:val="center"/>
          </w:tcPr>
          <w:p w14:paraId="5179A5BC">
            <w:pPr>
              <w:pStyle w:val="29"/>
              <w:snapToGrid w:val="0"/>
              <w:spacing w:line="440" w:lineRule="exact"/>
              <w:rPr>
                <w:rFonts w:hint="default" w:eastAsia="仿宋_GB2312"/>
                <w:color w:val="auto"/>
                <w:szCs w:val="24"/>
              </w:rPr>
            </w:pPr>
            <w:r>
              <w:rPr>
                <w:rFonts w:eastAsia="仿宋_GB2312"/>
                <w:color w:val="auto"/>
                <w:szCs w:val="24"/>
              </w:rPr>
              <w:t>3.94</w:t>
            </w:r>
          </w:p>
        </w:tc>
        <w:tc>
          <w:tcPr>
            <w:tcW w:w="2846" w:type="dxa"/>
            <w:vAlign w:val="center"/>
          </w:tcPr>
          <w:p w14:paraId="70A97A9B">
            <w:pPr>
              <w:pStyle w:val="29"/>
              <w:snapToGrid w:val="0"/>
              <w:spacing w:line="440" w:lineRule="exact"/>
              <w:rPr>
                <w:rFonts w:hint="default" w:eastAsia="仿宋_GB2312"/>
                <w:color w:val="auto"/>
                <w:szCs w:val="24"/>
              </w:rPr>
            </w:pPr>
            <w:r>
              <w:rPr>
                <w:rFonts w:eastAsia="仿宋_GB2312"/>
                <w:color w:val="auto"/>
                <w:szCs w:val="24"/>
              </w:rPr>
              <w:t>8.99%</w:t>
            </w:r>
          </w:p>
        </w:tc>
      </w:tr>
      <w:tr w14:paraId="00E1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3536" w:type="dxa"/>
          </w:tcPr>
          <w:p w14:paraId="32E90AEF">
            <w:pPr>
              <w:pStyle w:val="29"/>
              <w:spacing w:line="440" w:lineRule="exact"/>
              <w:rPr>
                <w:rFonts w:hint="default" w:eastAsia="仿宋_GB2312"/>
                <w:color w:val="auto"/>
                <w:szCs w:val="24"/>
              </w:rPr>
            </w:pPr>
            <w:r>
              <w:rPr>
                <w:rFonts w:eastAsia="仿宋_GB2312"/>
                <w:color w:val="auto"/>
                <w:szCs w:val="24"/>
              </w:rPr>
              <w:t>合计</w:t>
            </w:r>
          </w:p>
        </w:tc>
        <w:tc>
          <w:tcPr>
            <w:tcW w:w="2737" w:type="dxa"/>
          </w:tcPr>
          <w:p w14:paraId="610BE9D0">
            <w:pPr>
              <w:pStyle w:val="29"/>
              <w:snapToGrid w:val="0"/>
              <w:spacing w:line="440" w:lineRule="exact"/>
              <w:rPr>
                <w:rFonts w:hint="default" w:eastAsia="仿宋_GB2312"/>
                <w:color w:val="auto"/>
                <w:szCs w:val="24"/>
              </w:rPr>
            </w:pPr>
            <w:r>
              <w:rPr>
                <w:rFonts w:eastAsia="仿宋_GB2312"/>
                <w:color w:val="auto"/>
                <w:szCs w:val="24"/>
              </w:rPr>
              <w:t>43.8</w:t>
            </w:r>
          </w:p>
        </w:tc>
        <w:tc>
          <w:tcPr>
            <w:tcW w:w="2846" w:type="dxa"/>
          </w:tcPr>
          <w:p w14:paraId="030FC0B9">
            <w:pPr>
              <w:pStyle w:val="29"/>
              <w:snapToGrid w:val="0"/>
              <w:spacing w:line="440" w:lineRule="exact"/>
              <w:rPr>
                <w:rFonts w:hint="default" w:eastAsia="仿宋_GB2312"/>
                <w:color w:val="auto"/>
                <w:szCs w:val="24"/>
              </w:rPr>
            </w:pPr>
            <w:r>
              <w:rPr>
                <w:rFonts w:eastAsia="仿宋_GB2312"/>
                <w:color w:val="auto"/>
                <w:szCs w:val="24"/>
              </w:rPr>
              <w:t>100.00%</w:t>
            </w:r>
          </w:p>
        </w:tc>
      </w:tr>
    </w:tbl>
    <w:p w14:paraId="2354CE93">
      <w:pPr>
        <w:spacing w:line="590" w:lineRule="exact"/>
        <w:ind w:firstLine="643"/>
        <w:rPr>
          <w:b/>
        </w:rPr>
      </w:pPr>
      <w:bookmarkStart w:id="12" w:name="_Hlk169190423"/>
      <w:r>
        <w:rPr>
          <w:rFonts w:hint="eastAsia"/>
          <w:b/>
        </w:rPr>
        <w:t>5.</w:t>
      </w:r>
      <w:r>
        <w:rPr>
          <w:rFonts w:hint="eastAsia" w:eastAsia="仿宋_GB2312"/>
          <w:b/>
          <w:color w:val="auto"/>
        </w:rPr>
        <w:t>重点工作任务</w:t>
      </w:r>
    </w:p>
    <w:p w14:paraId="52C398B3">
      <w:pPr>
        <w:spacing w:line="590" w:lineRule="exact"/>
        <w:ind w:firstLine="640"/>
        <w:rPr>
          <w:rFonts w:ascii="仿宋_GB2312" w:eastAsia="仿宋_GB2312"/>
          <w:szCs w:val="32"/>
        </w:rPr>
      </w:pPr>
      <w:r>
        <w:rPr>
          <w:rFonts w:hint="eastAsia" w:eastAsia="仿宋_GB2312"/>
          <w:color w:val="auto"/>
        </w:rPr>
        <w:t>一是着力增强农产品流通服务能力。</w:t>
      </w:r>
      <w:r>
        <w:rPr>
          <w:rFonts w:hint="eastAsia" w:ascii="仿宋_GB2312" w:hAnsi="仿宋_GB2312" w:eastAsia="仿宋_GB2312" w:cs="仿宋_GB2312"/>
          <w:b/>
          <w:bCs/>
          <w:szCs w:val="32"/>
        </w:rPr>
        <w:t>拓展农产品供应链。</w:t>
      </w:r>
      <w:r>
        <w:rPr>
          <w:rFonts w:hint="eastAsia" w:ascii="仿宋_GB2312" w:hAnsi="仿宋" w:eastAsia="仿宋_GB2312"/>
          <w:szCs w:val="32"/>
        </w:rPr>
        <w:t>巩固江宁</w:t>
      </w:r>
      <w:r>
        <w:rPr>
          <w:rFonts w:hint="eastAsia" w:ascii="仿宋_GB2312" w:eastAsia="仿宋_GB2312"/>
          <w:szCs w:val="32"/>
        </w:rPr>
        <w:t>大宗食材统筹配送业务</w:t>
      </w:r>
      <w:r>
        <w:rPr>
          <w:rFonts w:hint="eastAsia" w:ascii="仿宋_GB2312" w:hAnsi="仿宋" w:eastAsia="仿宋_GB2312"/>
          <w:szCs w:val="32"/>
        </w:rPr>
        <w:t>。</w:t>
      </w:r>
      <w:r>
        <w:rPr>
          <w:rFonts w:hint="eastAsia" w:ascii="仿宋_GB2312" w:hAnsi="仿宋_GB2312" w:eastAsia="仿宋_GB2312" w:cs="仿宋_GB2312"/>
          <w:szCs w:val="32"/>
        </w:rPr>
        <w:t>整合系统内外资源，</w:t>
      </w:r>
      <w:r>
        <w:rPr>
          <w:rFonts w:hint="eastAsia" w:ascii="仿宋_GB2312" w:eastAsia="仿宋_GB2312"/>
          <w:szCs w:val="32"/>
        </w:rPr>
        <w:t>加强供应链管理，优化成本结构，逐步形成成熟完善的供应链；</w:t>
      </w:r>
      <w:r>
        <w:rPr>
          <w:rFonts w:hint="eastAsia" w:ascii="仿宋_GB2312" w:hAnsi="仿宋" w:eastAsia="仿宋_GB2312"/>
          <w:szCs w:val="32"/>
        </w:rPr>
        <w:t>继续探索农产品直供业务渠道</w:t>
      </w:r>
      <w:r>
        <w:rPr>
          <w:rFonts w:hint="eastAsia" w:ascii="仿宋_GB2312" w:eastAsia="仿宋_GB2312"/>
          <w:szCs w:val="32"/>
        </w:rPr>
        <w:t>，拓宽直播带货、社区团购等业务渠道，形成线上线下紧密结合的销售矩阵</w:t>
      </w:r>
      <w:r>
        <w:rPr>
          <w:rFonts w:hint="eastAsia" w:ascii="仿宋_GB2312" w:hAnsi="仿宋_GB2312" w:eastAsia="仿宋_GB2312" w:cs="仿宋_GB2312"/>
          <w:szCs w:val="32"/>
        </w:rPr>
        <w:t>。</w:t>
      </w:r>
      <w:r>
        <w:rPr>
          <w:rFonts w:hint="eastAsia" w:ascii="仿宋_GB2312" w:hAnsi="仿宋_GB2312" w:eastAsia="仿宋_GB2312" w:cs="仿宋_GB2312"/>
          <w:b/>
          <w:bCs/>
          <w:szCs w:val="32"/>
        </w:rPr>
        <w:t>打造农产品展销活动品牌。</w:t>
      </w:r>
      <w:r>
        <w:rPr>
          <w:rFonts w:hint="eastAsia" w:ascii="仿宋_GB2312" w:eastAsia="仿宋_GB2312"/>
          <w:szCs w:val="32"/>
        </w:rPr>
        <w:t>常态化开展“南京供销大集”农产品展销活动。进一步扩大展示展销活动覆盖面，加强对系统内外资源梳理整合力度，扩大参与范围；加强市区两级联动，探索市区两级合办活动专场模式；联合周边城市，举办南京供销大集“宁镇扬”专场活动等。</w:t>
      </w:r>
      <w:r>
        <w:rPr>
          <w:rFonts w:hint="eastAsia" w:ascii="仿宋_GB2312" w:hAnsi="仿宋_GB2312" w:eastAsia="仿宋_GB2312" w:cs="仿宋_GB2312"/>
          <w:b/>
          <w:bCs/>
          <w:szCs w:val="32"/>
        </w:rPr>
        <w:t>建强农产品上行支撑体系。</w:t>
      </w:r>
      <w:r>
        <w:rPr>
          <w:rFonts w:hint="eastAsia" w:ascii="仿宋_GB2312" w:hAnsi="仿宋_GB2312" w:eastAsia="仿宋_GB2312" w:cs="仿宋_GB2312"/>
          <w:szCs w:val="32"/>
        </w:rPr>
        <w:t>整合资源，在体系建设、品牌打造、政策支持等方面形成合力。发挥好财政资金引导作用，</w:t>
      </w:r>
      <w:r>
        <w:rPr>
          <w:rFonts w:hint="eastAsia" w:ascii="仿宋_GB2312" w:eastAsia="仿宋_GB2312"/>
          <w:szCs w:val="32"/>
        </w:rPr>
        <w:t>持续加强对农产品电商的扶持力度，推动系统经营网点信息化改造，建好电商服务站点，持续开展电商直播、农产品经纪人等培训活动。</w:t>
      </w:r>
    </w:p>
    <w:p w14:paraId="1D1D1B11">
      <w:pPr>
        <w:spacing w:line="590" w:lineRule="exact"/>
        <w:ind w:firstLine="640"/>
        <w:rPr>
          <w:rFonts w:ascii="仿宋_GB2312" w:eastAsia="仿宋_GB2312"/>
          <w:szCs w:val="32"/>
        </w:rPr>
      </w:pPr>
      <w:r>
        <w:rPr>
          <w:rFonts w:hint="eastAsia" w:eastAsia="仿宋_GB2312"/>
          <w:color w:val="auto"/>
        </w:rPr>
        <w:t>二是着力提高农业社会化服务质效。</w:t>
      </w:r>
      <w:r>
        <w:rPr>
          <w:rFonts w:hint="eastAsia" w:ascii="仿宋_GB2312" w:hAnsi="仿宋_GB2312" w:eastAsia="仿宋_GB2312" w:cs="仿宋_GB2312"/>
          <w:b/>
          <w:bCs/>
          <w:szCs w:val="32"/>
        </w:rPr>
        <w:t>拓展零差率统一配供网络服务功能。</w:t>
      </w:r>
      <w:r>
        <w:rPr>
          <w:rFonts w:hint="eastAsia" w:ascii="仿宋_GB2312" w:eastAsia="仿宋_GB2312"/>
          <w:szCs w:val="32"/>
        </w:rPr>
        <w:t>巩固提升农药集采统配效能。持续加强运营管理，规范配供规程落实，推动农药“实名制、定额制”销售，通过考核奖评等方式强化网点管理，多种手段提升经营网点与供销社的粘合度，确保零差率统一配供农药的品质。</w:t>
      </w:r>
      <w:r>
        <w:rPr>
          <w:rFonts w:hint="eastAsia" w:ascii="仿宋_GB2312" w:hAnsi="仿宋_GB2312" w:eastAsia="仿宋_GB2312" w:cs="仿宋_GB2312"/>
          <w:b/>
          <w:bCs/>
          <w:szCs w:val="32"/>
        </w:rPr>
        <w:t>建立全市农资应急储备机制。</w:t>
      </w:r>
      <w:r>
        <w:rPr>
          <w:rFonts w:hint="eastAsia" w:ascii="仿宋_GB2312" w:eastAsia="仿宋_GB2312"/>
          <w:szCs w:val="32"/>
        </w:rPr>
        <w:t>抓好农资应急储备工作的具体实施，加强与发改、财政、农业农村等部门的沟通协调，进一步优化流程、完善方案。</w:t>
      </w:r>
      <w:r>
        <w:rPr>
          <w:rFonts w:hint="eastAsia" w:ascii="仿宋_GB2312" w:hAnsi="仿宋_GB2312" w:eastAsia="仿宋_GB2312" w:cs="仿宋_GB2312"/>
          <w:b/>
          <w:bCs/>
          <w:szCs w:val="32"/>
        </w:rPr>
        <w:t>加深农业社会化服务的参与程度。</w:t>
      </w:r>
      <w:r>
        <w:rPr>
          <w:rFonts w:hint="eastAsia" w:ascii="仿宋_GB2312" w:eastAsia="仿宋_GB2312"/>
          <w:szCs w:val="32"/>
        </w:rPr>
        <w:t>在溧水、高淳等区试点，开展“耕种防收”等全程托管服务，探索形成一条深度参与农业社会化服务的路径，并逐步推开。</w:t>
      </w:r>
    </w:p>
    <w:p w14:paraId="0B9F4B79">
      <w:pPr>
        <w:adjustRightInd w:val="0"/>
        <w:snapToGrid w:val="0"/>
        <w:spacing w:line="590" w:lineRule="exact"/>
        <w:ind w:firstLine="640"/>
        <w:rPr>
          <w:rFonts w:ascii="仿宋_GB2312" w:eastAsia="仿宋_GB2312"/>
          <w:szCs w:val="32"/>
        </w:rPr>
      </w:pPr>
      <w:r>
        <w:rPr>
          <w:rFonts w:hint="eastAsia" w:eastAsia="仿宋_GB2312"/>
          <w:color w:val="auto"/>
        </w:rPr>
        <w:t>三是着力提升系统运行活力和发展水平。</w:t>
      </w:r>
      <w:r>
        <w:rPr>
          <w:rFonts w:hint="eastAsia" w:ascii="仿宋_GB2312" w:hAnsi="仿宋_GB2312" w:eastAsia="仿宋_GB2312" w:cs="仿宋_GB2312"/>
          <w:b/>
          <w:bCs/>
          <w:szCs w:val="32"/>
        </w:rPr>
        <w:t>加强</w:t>
      </w:r>
      <w:r>
        <w:rPr>
          <w:rFonts w:hint="eastAsia" w:ascii="仿宋_GB2312" w:hAnsi="方正仿宋_GB2312" w:eastAsia="仿宋_GB2312" w:cs="方正仿宋_GB2312"/>
          <w:b/>
          <w:bCs/>
          <w:szCs w:val="32"/>
        </w:rPr>
        <w:t>联合社治理能力建设。</w:t>
      </w:r>
      <w:r>
        <w:rPr>
          <w:rFonts w:hint="eastAsia" w:ascii="仿宋_GB2312" w:eastAsia="仿宋_GB2312"/>
          <w:szCs w:val="32"/>
        </w:rPr>
        <w:t>持续抓好</w:t>
      </w:r>
      <w:r>
        <w:rPr>
          <w:rFonts w:hint="eastAsia" w:eastAsia="仿宋_GB2312"/>
          <w:szCs w:val="32"/>
        </w:rPr>
        <w:t>供销社“三会”制度运行，全面提升治理能力和水平。</w:t>
      </w:r>
      <w:r>
        <w:rPr>
          <w:rFonts w:hint="eastAsia" w:ascii="仿宋_GB2312" w:eastAsia="仿宋_GB2312"/>
          <w:szCs w:val="32"/>
        </w:rPr>
        <w:t>把巡察、审计整改贯穿全年工作始终，坚持以查促改、</w:t>
      </w:r>
      <w:r>
        <w:rPr>
          <w:rFonts w:ascii="仿宋_GB2312" w:eastAsia="仿宋_GB2312"/>
          <w:szCs w:val="32"/>
        </w:rPr>
        <w:t>即知即改</w:t>
      </w:r>
      <w:r>
        <w:rPr>
          <w:rFonts w:hint="eastAsia" w:ascii="仿宋_GB2312" w:eastAsia="仿宋_GB2312"/>
          <w:szCs w:val="32"/>
        </w:rPr>
        <w:t>、以改促治，推动联合社治理机制不断完善。</w:t>
      </w:r>
      <w:r>
        <w:rPr>
          <w:rFonts w:hint="eastAsia" w:ascii="仿宋_GB2312" w:hAnsi="仿宋_GB2312" w:eastAsia="仿宋_GB2312" w:cs="仿宋_GB2312"/>
          <w:b/>
          <w:bCs/>
          <w:szCs w:val="32"/>
        </w:rPr>
        <w:t>解决基层组织建设中的难点问题。</w:t>
      </w:r>
      <w:r>
        <w:rPr>
          <w:rFonts w:hint="eastAsia" w:ascii="仿宋_GB2312" w:eastAsia="仿宋_GB2312"/>
          <w:szCs w:val="32"/>
        </w:rPr>
        <w:t>着力解决基层组织“南强北弱”的问题，探索社有企业带动、财政资金扶持、经营业务拓展等方式，在北部地区打造立得住、站得稳的新型基层社。重点推进浦口区汤泉街道基层社的重建，继续推动开放办社。</w:t>
      </w:r>
      <w:r>
        <w:rPr>
          <w:rFonts w:hint="eastAsia" w:ascii="仿宋_GB2312" w:hAnsi="仿宋_GB2312" w:eastAsia="仿宋_GB2312" w:cs="仿宋_GB2312"/>
          <w:b/>
          <w:bCs/>
          <w:szCs w:val="32"/>
        </w:rPr>
        <w:t>推动社有企业发展再上一个台阶。</w:t>
      </w:r>
      <w:r>
        <w:rPr>
          <w:rFonts w:hint="eastAsia" w:ascii="仿宋_GB2312" w:eastAsia="仿宋_GB2312"/>
          <w:szCs w:val="32"/>
        </w:rPr>
        <w:t>发挥好市供销集团平台作用，推动系统农资下行和农产品上行业务联动，不断巩固拓展主责主业，推动农资供应、农产品销售等主营业务再上台阶。抓好社有资产经营管理，加大存量资产整合力度，做好资产确权办证和经营业态提档升级工作，不断优化资源配置，提高资产利用水平，合理购置优质资产，改善企业经营效益，加快从管资产向管资本转变。</w:t>
      </w:r>
    </w:p>
    <w:p w14:paraId="58CEBF75">
      <w:pPr>
        <w:adjustRightInd w:val="0"/>
        <w:snapToGrid w:val="0"/>
        <w:spacing w:line="590" w:lineRule="exact"/>
        <w:ind w:firstLine="640"/>
        <w:rPr>
          <w:rFonts w:eastAsia="仿宋_GB2312"/>
          <w:szCs w:val="32"/>
        </w:rPr>
      </w:pPr>
      <w:r>
        <w:rPr>
          <w:rFonts w:hint="eastAsia" w:eastAsia="仿宋_GB2312"/>
          <w:color w:val="auto"/>
        </w:rPr>
        <w:t>四是坚持和加强党对供销合作事业的全面领导。</w:t>
      </w:r>
      <w:r>
        <w:rPr>
          <w:rFonts w:hint="eastAsia" w:eastAsia="仿宋_GB2312"/>
          <w:b/>
          <w:bCs/>
          <w:szCs w:val="32"/>
        </w:rPr>
        <w:t>坚决扛起管党治党政治</w:t>
      </w:r>
      <w:r>
        <w:rPr>
          <w:rFonts w:eastAsia="仿宋_GB2312"/>
          <w:b/>
          <w:bCs/>
          <w:szCs w:val="32"/>
        </w:rPr>
        <w:t>责任。</w:t>
      </w:r>
      <w:r>
        <w:rPr>
          <w:rFonts w:eastAsia="仿宋_GB2312"/>
          <w:szCs w:val="32"/>
        </w:rPr>
        <w:t>全面落实新时代党的建设总要求，</w:t>
      </w:r>
      <w:r>
        <w:rPr>
          <w:rFonts w:hint="eastAsia" w:eastAsia="仿宋_GB2312"/>
          <w:szCs w:val="32"/>
        </w:rPr>
        <w:t>不断</w:t>
      </w:r>
      <w:r>
        <w:rPr>
          <w:rFonts w:eastAsia="仿宋_GB2312"/>
          <w:szCs w:val="32"/>
        </w:rPr>
        <w:t>深化理论武装，推动党建和业务深度融合，将党的全面领导贯彻到各项工作的全过程</w:t>
      </w:r>
      <w:r>
        <w:rPr>
          <w:rFonts w:hint="eastAsia" w:eastAsia="仿宋_GB2312"/>
          <w:szCs w:val="32"/>
        </w:rPr>
        <w:t>。</w:t>
      </w:r>
      <w:r>
        <w:rPr>
          <w:rFonts w:eastAsia="仿宋_GB2312"/>
          <w:b/>
          <w:bCs/>
          <w:szCs w:val="32"/>
        </w:rPr>
        <w:t>常态长效</w:t>
      </w:r>
      <w:r>
        <w:rPr>
          <w:rFonts w:hint="eastAsia" w:eastAsia="仿宋_GB2312"/>
          <w:b/>
          <w:bCs/>
          <w:szCs w:val="32"/>
        </w:rPr>
        <w:t>开展</w:t>
      </w:r>
      <w:r>
        <w:rPr>
          <w:rFonts w:eastAsia="仿宋_GB2312"/>
          <w:b/>
          <w:bCs/>
          <w:szCs w:val="32"/>
        </w:rPr>
        <w:t>主题教育。</w:t>
      </w:r>
      <w:r>
        <w:rPr>
          <w:rFonts w:eastAsia="仿宋_GB2312"/>
          <w:szCs w:val="32"/>
        </w:rPr>
        <w:t>用好用活各类学习载体，持续深入学习习近平新时代中国特色社会主义思想，重点学习习近平总书记在江苏考察时重要讲话指示</w:t>
      </w:r>
      <w:r>
        <w:rPr>
          <w:rFonts w:hint="eastAsia" w:eastAsia="仿宋_GB2312"/>
          <w:szCs w:val="32"/>
        </w:rPr>
        <w:t>精神以及对供销社工作重要指示批示</w:t>
      </w:r>
      <w:r>
        <w:rPr>
          <w:rFonts w:eastAsia="仿宋_GB2312"/>
          <w:szCs w:val="32"/>
        </w:rPr>
        <w:t>精神，自觉运用党的最新理论成果武装头脑</w:t>
      </w:r>
      <w:r>
        <w:rPr>
          <w:rFonts w:hint="eastAsia" w:eastAsia="仿宋_GB2312"/>
          <w:szCs w:val="32"/>
        </w:rPr>
        <w:t>。</w:t>
      </w:r>
      <w:r>
        <w:rPr>
          <w:rFonts w:hint="eastAsia" w:eastAsia="仿宋_GB2312"/>
          <w:b/>
          <w:bCs/>
          <w:szCs w:val="32"/>
        </w:rPr>
        <w:t>激励</w:t>
      </w:r>
      <w:r>
        <w:rPr>
          <w:rFonts w:eastAsia="仿宋_GB2312"/>
          <w:b/>
          <w:bCs/>
          <w:szCs w:val="32"/>
        </w:rPr>
        <w:t>干部队伍</w:t>
      </w:r>
      <w:r>
        <w:rPr>
          <w:rFonts w:hint="eastAsia" w:eastAsia="仿宋_GB2312"/>
          <w:b/>
          <w:bCs/>
          <w:szCs w:val="32"/>
        </w:rPr>
        <w:t>实干担当</w:t>
      </w:r>
      <w:r>
        <w:rPr>
          <w:rFonts w:eastAsia="仿宋_GB2312"/>
          <w:b/>
          <w:bCs/>
          <w:szCs w:val="32"/>
        </w:rPr>
        <w:t>。</w:t>
      </w:r>
      <w:r>
        <w:rPr>
          <w:rFonts w:eastAsia="仿宋_GB2312"/>
          <w:szCs w:val="32"/>
        </w:rPr>
        <w:t>多举措全方位</w:t>
      </w:r>
      <w:r>
        <w:rPr>
          <w:rFonts w:hint="eastAsia" w:eastAsia="仿宋_GB2312"/>
          <w:szCs w:val="32"/>
        </w:rPr>
        <w:t>建强干部队伍</w:t>
      </w:r>
      <w:r>
        <w:rPr>
          <w:rFonts w:eastAsia="仿宋_GB2312"/>
          <w:szCs w:val="32"/>
        </w:rPr>
        <w:t>，有序开展专业培训和交流轮岗，</w:t>
      </w:r>
      <w:r>
        <w:rPr>
          <w:rFonts w:hint="eastAsia" w:eastAsia="仿宋_GB2312"/>
          <w:szCs w:val="32"/>
        </w:rPr>
        <w:t>推动</w:t>
      </w:r>
      <w:r>
        <w:rPr>
          <w:rFonts w:eastAsia="仿宋_GB2312"/>
          <w:szCs w:val="32"/>
        </w:rPr>
        <w:t>年轻干部到关键岗位、基层一线锻炼</w:t>
      </w:r>
      <w:r>
        <w:rPr>
          <w:rFonts w:hint="eastAsia" w:eastAsia="仿宋_GB2312"/>
          <w:szCs w:val="32"/>
        </w:rPr>
        <w:t>，激励广大党员干部在推动供销合作事业高质量发展进程中彰显使命担当。</w:t>
      </w:r>
    </w:p>
    <w:p w14:paraId="1462E650">
      <w:pPr>
        <w:adjustRightInd w:val="0"/>
        <w:snapToGrid w:val="0"/>
        <w:spacing w:line="590" w:lineRule="exact"/>
        <w:ind w:firstLine="640"/>
        <w:rPr>
          <w:rFonts w:ascii="楷体_GB2312" w:eastAsia="楷体_GB2312"/>
        </w:rPr>
      </w:pPr>
      <w:r>
        <w:rPr>
          <w:rFonts w:hint="eastAsia" w:ascii="楷体_GB2312" w:eastAsia="楷体_GB2312"/>
        </w:rPr>
        <w:t>（二）</w:t>
      </w:r>
      <w:r>
        <w:rPr>
          <w:rFonts w:hint="eastAsia" w:ascii="楷体_GB2312" w:eastAsia="楷体_GB2312"/>
          <w:szCs w:val="32"/>
        </w:rPr>
        <w:t>部门收支情况</w:t>
      </w:r>
    </w:p>
    <w:p w14:paraId="0983FB38">
      <w:pPr>
        <w:spacing w:line="590" w:lineRule="exact"/>
        <w:ind w:firstLine="643"/>
        <w:rPr>
          <w:rFonts w:eastAsia="仿宋_GB2312"/>
          <w:b/>
          <w:bCs/>
          <w:color w:val="auto"/>
        </w:rPr>
      </w:pPr>
      <w:bookmarkStart w:id="13" w:name="_Hlk169182628"/>
      <w:r>
        <w:rPr>
          <w:rFonts w:hint="eastAsia" w:eastAsia="仿宋_GB2312"/>
          <w:b/>
          <w:bCs/>
          <w:color w:val="auto"/>
        </w:rPr>
        <w:t>1.2024年度部门预算收支情况</w:t>
      </w:r>
    </w:p>
    <w:p w14:paraId="4374EB1B">
      <w:pPr>
        <w:spacing w:line="590" w:lineRule="exact"/>
        <w:ind w:firstLine="640"/>
        <w:rPr>
          <w:rFonts w:eastAsia="仿宋_GB2312"/>
          <w:color w:val="auto"/>
        </w:rPr>
      </w:pPr>
      <w:r>
        <w:rPr>
          <w:rFonts w:hint="eastAsia" w:eastAsia="仿宋_GB2312"/>
          <w:color w:val="auto"/>
        </w:rPr>
        <w:t>南京市供销合作总社年初预算安排2,375.76万元，调整后预算安排2,950.73万元，实际执行2,950.73万元，总体预算执行率100.00%。</w:t>
      </w:r>
    </w:p>
    <w:bookmarkEnd w:id="12"/>
    <w:bookmarkEnd w:id="13"/>
    <w:p w14:paraId="38E85081">
      <w:pPr>
        <w:spacing w:line="300" w:lineRule="exact"/>
        <w:ind w:left="641" w:firstLine="0" w:firstLineChars="0"/>
        <w:rPr>
          <w:sz w:val="28"/>
          <w:szCs w:val="28"/>
        </w:rPr>
      </w:pPr>
      <w:bookmarkStart w:id="14" w:name="_Hlk169185206"/>
      <w:r>
        <w:rPr>
          <w:rFonts w:hint="eastAsia"/>
          <w:sz w:val="28"/>
          <w:szCs w:val="28"/>
        </w:rPr>
        <w:t>单位：万元</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2"/>
        <w:gridCol w:w="1309"/>
        <w:gridCol w:w="2088"/>
        <w:gridCol w:w="1808"/>
        <w:gridCol w:w="1808"/>
      </w:tblGrid>
      <w:tr w14:paraId="215D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tcPr>
          <w:p w14:paraId="1C64A8A3">
            <w:pPr>
              <w:pStyle w:val="9"/>
              <w:adjustRightInd w:val="0"/>
              <w:spacing w:after="0" w:line="360" w:lineRule="auto"/>
              <w:ind w:firstLine="0" w:firstLineChars="0"/>
              <w:rPr>
                <w:rFonts w:eastAsia="仿宋_GB2312"/>
                <w:kern w:val="0"/>
                <w:sz w:val="24"/>
              </w:rPr>
            </w:pPr>
            <w:r>
              <w:rPr>
                <w:rFonts w:eastAsia="仿宋_GB2312"/>
                <w:kern w:val="0"/>
                <w:sz w:val="24"/>
              </w:rPr>
              <w:t>项目</w:t>
            </w:r>
          </w:p>
        </w:tc>
        <w:tc>
          <w:tcPr>
            <w:tcW w:w="739" w:type="pct"/>
          </w:tcPr>
          <w:p w14:paraId="7DA925CF">
            <w:pPr>
              <w:pStyle w:val="9"/>
              <w:adjustRightInd w:val="0"/>
              <w:spacing w:after="0" w:line="360" w:lineRule="auto"/>
              <w:ind w:firstLine="0" w:firstLineChars="0"/>
              <w:rPr>
                <w:rFonts w:eastAsia="仿宋_GB2312"/>
                <w:kern w:val="0"/>
                <w:sz w:val="24"/>
              </w:rPr>
            </w:pPr>
            <w:r>
              <w:rPr>
                <w:rFonts w:eastAsia="仿宋_GB2312"/>
                <w:kern w:val="0"/>
                <w:sz w:val="24"/>
              </w:rPr>
              <w:t>年初预算数</w:t>
            </w:r>
          </w:p>
        </w:tc>
        <w:tc>
          <w:tcPr>
            <w:tcW w:w="1179" w:type="pct"/>
          </w:tcPr>
          <w:p w14:paraId="65F454AC">
            <w:pPr>
              <w:pStyle w:val="9"/>
              <w:adjustRightInd w:val="0"/>
              <w:spacing w:after="0" w:line="360" w:lineRule="auto"/>
              <w:ind w:firstLine="0" w:firstLineChars="0"/>
              <w:rPr>
                <w:rFonts w:eastAsia="仿宋_GB2312"/>
                <w:kern w:val="0"/>
                <w:sz w:val="24"/>
              </w:rPr>
            </w:pPr>
            <w:r>
              <w:rPr>
                <w:rFonts w:eastAsia="仿宋_GB2312"/>
                <w:kern w:val="0"/>
                <w:sz w:val="24"/>
              </w:rPr>
              <w:t>预算调整后数</w:t>
            </w:r>
          </w:p>
        </w:tc>
        <w:tc>
          <w:tcPr>
            <w:tcW w:w="1021" w:type="pct"/>
          </w:tcPr>
          <w:p w14:paraId="47245631">
            <w:pPr>
              <w:pStyle w:val="9"/>
              <w:adjustRightInd w:val="0"/>
              <w:spacing w:after="0" w:line="360" w:lineRule="auto"/>
              <w:ind w:firstLine="0" w:firstLineChars="0"/>
              <w:rPr>
                <w:rFonts w:eastAsia="仿宋_GB2312"/>
                <w:kern w:val="0"/>
                <w:sz w:val="24"/>
              </w:rPr>
            </w:pPr>
            <w:r>
              <w:rPr>
                <w:rFonts w:eastAsia="仿宋_GB2312"/>
                <w:kern w:val="0"/>
                <w:sz w:val="24"/>
              </w:rPr>
              <w:t>实际支出数</w:t>
            </w:r>
          </w:p>
        </w:tc>
        <w:tc>
          <w:tcPr>
            <w:tcW w:w="1021" w:type="pct"/>
          </w:tcPr>
          <w:p w14:paraId="5C8D62E9">
            <w:pPr>
              <w:pStyle w:val="9"/>
              <w:adjustRightInd w:val="0"/>
              <w:spacing w:after="0" w:line="360" w:lineRule="auto"/>
              <w:ind w:firstLine="0" w:firstLineChars="0"/>
              <w:rPr>
                <w:rFonts w:eastAsia="仿宋_GB2312"/>
                <w:kern w:val="0"/>
                <w:sz w:val="24"/>
              </w:rPr>
            </w:pPr>
            <w:r>
              <w:rPr>
                <w:rFonts w:eastAsia="仿宋_GB2312"/>
                <w:kern w:val="0"/>
                <w:sz w:val="24"/>
              </w:rPr>
              <w:t>预算执行率</w:t>
            </w:r>
          </w:p>
        </w:tc>
      </w:tr>
      <w:tr w14:paraId="2711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vAlign w:val="center"/>
          </w:tcPr>
          <w:p w14:paraId="01170B4F">
            <w:pPr>
              <w:pStyle w:val="29"/>
              <w:snapToGrid w:val="0"/>
              <w:spacing w:line="300" w:lineRule="auto"/>
              <w:jc w:val="both"/>
              <w:rPr>
                <w:rFonts w:hint="default"/>
                <w:color w:val="auto"/>
              </w:rPr>
            </w:pPr>
            <w:r>
              <w:rPr>
                <w:rFonts w:eastAsia="仿宋_GB2312"/>
                <w:b/>
                <w:color w:val="auto"/>
                <w:szCs w:val="24"/>
              </w:rPr>
              <w:t>基本支出</w:t>
            </w:r>
          </w:p>
        </w:tc>
        <w:tc>
          <w:tcPr>
            <w:tcW w:w="739" w:type="pct"/>
            <w:vAlign w:val="center"/>
          </w:tcPr>
          <w:p w14:paraId="0F6B0E51">
            <w:pPr>
              <w:pStyle w:val="29"/>
              <w:snapToGrid w:val="0"/>
              <w:spacing w:line="300" w:lineRule="auto"/>
              <w:rPr>
                <w:rFonts w:hint="default" w:eastAsia="仿宋_GB2312"/>
                <w:color w:val="auto"/>
                <w:szCs w:val="24"/>
              </w:rPr>
            </w:pPr>
            <w:r>
              <w:rPr>
                <w:rFonts w:eastAsia="仿宋_GB2312"/>
                <w:color w:val="auto"/>
                <w:szCs w:val="24"/>
              </w:rPr>
              <w:t>2,331.76</w:t>
            </w:r>
          </w:p>
        </w:tc>
        <w:tc>
          <w:tcPr>
            <w:tcW w:w="1179" w:type="pct"/>
            <w:vAlign w:val="center"/>
          </w:tcPr>
          <w:p w14:paraId="0C07E046">
            <w:pPr>
              <w:pStyle w:val="29"/>
              <w:snapToGrid w:val="0"/>
              <w:spacing w:line="300" w:lineRule="auto"/>
              <w:rPr>
                <w:rFonts w:hint="default" w:eastAsia="仿宋_GB2312"/>
                <w:color w:val="auto"/>
                <w:szCs w:val="24"/>
              </w:rPr>
            </w:pPr>
            <w:r>
              <w:rPr>
                <w:rFonts w:eastAsia="仿宋_GB2312"/>
                <w:color w:val="auto"/>
                <w:szCs w:val="24"/>
              </w:rPr>
              <w:t>2,404.61</w:t>
            </w:r>
          </w:p>
        </w:tc>
        <w:tc>
          <w:tcPr>
            <w:tcW w:w="1021" w:type="pct"/>
            <w:vAlign w:val="center"/>
          </w:tcPr>
          <w:p w14:paraId="30BC7903">
            <w:pPr>
              <w:pStyle w:val="29"/>
              <w:snapToGrid w:val="0"/>
              <w:spacing w:line="300" w:lineRule="auto"/>
              <w:rPr>
                <w:rFonts w:hint="default" w:eastAsia="仿宋_GB2312"/>
                <w:color w:val="auto"/>
                <w:szCs w:val="24"/>
              </w:rPr>
            </w:pPr>
            <w:r>
              <w:rPr>
                <w:rFonts w:eastAsia="仿宋_GB2312"/>
                <w:color w:val="auto"/>
                <w:szCs w:val="24"/>
              </w:rPr>
              <w:t>2,404.61</w:t>
            </w:r>
          </w:p>
        </w:tc>
        <w:tc>
          <w:tcPr>
            <w:tcW w:w="1021" w:type="pct"/>
            <w:vAlign w:val="center"/>
          </w:tcPr>
          <w:p w14:paraId="2213772F">
            <w:pPr>
              <w:pStyle w:val="29"/>
              <w:snapToGrid w:val="0"/>
              <w:spacing w:line="300" w:lineRule="auto"/>
              <w:rPr>
                <w:rFonts w:hint="default" w:eastAsia="仿宋_GB2312"/>
                <w:color w:val="auto"/>
                <w:szCs w:val="24"/>
              </w:rPr>
            </w:pPr>
            <w:r>
              <w:rPr>
                <w:rFonts w:eastAsia="仿宋_GB2312"/>
                <w:color w:val="auto"/>
                <w:szCs w:val="24"/>
              </w:rPr>
              <w:t>100.00%</w:t>
            </w:r>
          </w:p>
        </w:tc>
      </w:tr>
      <w:tr w14:paraId="5AFC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vAlign w:val="center"/>
          </w:tcPr>
          <w:p w14:paraId="6E7E1233">
            <w:pPr>
              <w:pStyle w:val="29"/>
              <w:snapToGrid w:val="0"/>
              <w:spacing w:line="300" w:lineRule="auto"/>
              <w:jc w:val="both"/>
              <w:rPr>
                <w:rFonts w:hint="default" w:eastAsia="仿宋_GB2312"/>
                <w:bCs/>
                <w:color w:val="auto"/>
                <w:szCs w:val="24"/>
              </w:rPr>
            </w:pPr>
            <w:r>
              <w:rPr>
                <w:rFonts w:eastAsia="仿宋_GB2312"/>
                <w:bCs/>
                <w:color w:val="auto"/>
                <w:szCs w:val="24"/>
              </w:rPr>
              <w:t>其中：人员经费</w:t>
            </w:r>
          </w:p>
        </w:tc>
        <w:tc>
          <w:tcPr>
            <w:tcW w:w="739" w:type="pct"/>
            <w:vAlign w:val="center"/>
          </w:tcPr>
          <w:p w14:paraId="7AC15D36">
            <w:pPr>
              <w:pStyle w:val="29"/>
              <w:snapToGrid w:val="0"/>
              <w:spacing w:line="300" w:lineRule="auto"/>
              <w:rPr>
                <w:rFonts w:hint="default" w:eastAsia="仿宋_GB2312"/>
                <w:color w:val="auto"/>
                <w:szCs w:val="24"/>
              </w:rPr>
            </w:pPr>
            <w:r>
              <w:rPr>
                <w:rFonts w:eastAsia="仿宋_GB2312"/>
                <w:color w:val="auto"/>
                <w:szCs w:val="24"/>
              </w:rPr>
              <w:t>2,195.07</w:t>
            </w:r>
          </w:p>
        </w:tc>
        <w:tc>
          <w:tcPr>
            <w:tcW w:w="1179" w:type="pct"/>
            <w:vAlign w:val="center"/>
          </w:tcPr>
          <w:p w14:paraId="751BA050">
            <w:pPr>
              <w:pStyle w:val="29"/>
              <w:snapToGrid w:val="0"/>
              <w:spacing w:line="300" w:lineRule="auto"/>
              <w:rPr>
                <w:rFonts w:hint="default" w:eastAsia="仿宋_GB2312"/>
                <w:color w:val="auto"/>
                <w:szCs w:val="24"/>
              </w:rPr>
            </w:pPr>
            <w:r>
              <w:rPr>
                <w:rFonts w:eastAsia="仿宋_GB2312"/>
                <w:color w:val="auto"/>
                <w:szCs w:val="24"/>
              </w:rPr>
              <w:t>2,273.25</w:t>
            </w:r>
          </w:p>
        </w:tc>
        <w:tc>
          <w:tcPr>
            <w:tcW w:w="1021" w:type="pct"/>
            <w:vAlign w:val="center"/>
          </w:tcPr>
          <w:p w14:paraId="4E022C24">
            <w:pPr>
              <w:pStyle w:val="29"/>
              <w:snapToGrid w:val="0"/>
              <w:spacing w:line="300" w:lineRule="auto"/>
              <w:rPr>
                <w:rFonts w:hint="default" w:eastAsia="仿宋_GB2312"/>
                <w:color w:val="auto"/>
                <w:szCs w:val="24"/>
              </w:rPr>
            </w:pPr>
            <w:r>
              <w:rPr>
                <w:rFonts w:eastAsia="仿宋_GB2312"/>
                <w:color w:val="auto"/>
                <w:szCs w:val="24"/>
              </w:rPr>
              <w:t>2,273.25</w:t>
            </w:r>
          </w:p>
        </w:tc>
        <w:tc>
          <w:tcPr>
            <w:tcW w:w="1021" w:type="pct"/>
            <w:vAlign w:val="center"/>
          </w:tcPr>
          <w:p w14:paraId="3CFABBD5">
            <w:pPr>
              <w:pStyle w:val="29"/>
              <w:snapToGrid w:val="0"/>
              <w:spacing w:line="300" w:lineRule="auto"/>
              <w:rPr>
                <w:rFonts w:hint="default" w:eastAsia="仿宋_GB2312"/>
                <w:color w:val="auto"/>
                <w:szCs w:val="24"/>
              </w:rPr>
            </w:pPr>
            <w:r>
              <w:rPr>
                <w:rFonts w:eastAsia="仿宋_GB2312"/>
                <w:color w:val="auto"/>
                <w:szCs w:val="24"/>
              </w:rPr>
              <w:t>100.00%</w:t>
            </w:r>
          </w:p>
        </w:tc>
      </w:tr>
      <w:tr w14:paraId="4D316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vAlign w:val="center"/>
          </w:tcPr>
          <w:p w14:paraId="01FF5717">
            <w:pPr>
              <w:pStyle w:val="29"/>
              <w:snapToGrid w:val="0"/>
              <w:spacing w:line="300" w:lineRule="auto"/>
              <w:ind w:firstLine="720" w:firstLineChars="300"/>
              <w:jc w:val="both"/>
              <w:rPr>
                <w:rFonts w:hint="default" w:eastAsia="仿宋_GB2312"/>
                <w:bCs/>
                <w:color w:val="auto"/>
                <w:szCs w:val="24"/>
              </w:rPr>
            </w:pPr>
            <w:r>
              <w:rPr>
                <w:rFonts w:eastAsia="仿宋_GB2312"/>
                <w:bCs/>
                <w:color w:val="auto"/>
                <w:szCs w:val="24"/>
              </w:rPr>
              <w:t>公用经费</w:t>
            </w:r>
          </w:p>
        </w:tc>
        <w:tc>
          <w:tcPr>
            <w:tcW w:w="739" w:type="pct"/>
            <w:vAlign w:val="center"/>
          </w:tcPr>
          <w:p w14:paraId="16533E20">
            <w:pPr>
              <w:pStyle w:val="29"/>
              <w:snapToGrid w:val="0"/>
              <w:spacing w:line="300" w:lineRule="auto"/>
              <w:rPr>
                <w:rFonts w:hint="default" w:eastAsia="仿宋_GB2312"/>
                <w:color w:val="auto"/>
                <w:szCs w:val="24"/>
              </w:rPr>
            </w:pPr>
            <w:r>
              <w:rPr>
                <w:rFonts w:eastAsia="仿宋_GB2312"/>
                <w:color w:val="auto"/>
                <w:szCs w:val="24"/>
              </w:rPr>
              <w:t>136.69</w:t>
            </w:r>
          </w:p>
        </w:tc>
        <w:tc>
          <w:tcPr>
            <w:tcW w:w="1179" w:type="pct"/>
            <w:vAlign w:val="center"/>
          </w:tcPr>
          <w:p w14:paraId="3E4E6407">
            <w:pPr>
              <w:pStyle w:val="29"/>
              <w:snapToGrid w:val="0"/>
              <w:spacing w:line="300" w:lineRule="auto"/>
              <w:rPr>
                <w:rFonts w:hint="default" w:eastAsia="仿宋_GB2312"/>
                <w:color w:val="auto"/>
                <w:szCs w:val="24"/>
              </w:rPr>
            </w:pPr>
            <w:r>
              <w:rPr>
                <w:rFonts w:eastAsia="仿宋_GB2312"/>
                <w:color w:val="auto"/>
                <w:szCs w:val="24"/>
              </w:rPr>
              <w:t>131.36</w:t>
            </w:r>
          </w:p>
        </w:tc>
        <w:tc>
          <w:tcPr>
            <w:tcW w:w="1021" w:type="pct"/>
            <w:vAlign w:val="center"/>
          </w:tcPr>
          <w:p w14:paraId="2C453822">
            <w:pPr>
              <w:pStyle w:val="29"/>
              <w:snapToGrid w:val="0"/>
              <w:spacing w:line="300" w:lineRule="auto"/>
              <w:rPr>
                <w:rFonts w:hint="default" w:eastAsia="仿宋_GB2312"/>
                <w:color w:val="auto"/>
                <w:szCs w:val="24"/>
              </w:rPr>
            </w:pPr>
            <w:r>
              <w:rPr>
                <w:rFonts w:eastAsia="仿宋_GB2312"/>
                <w:color w:val="auto"/>
                <w:szCs w:val="24"/>
              </w:rPr>
              <w:t>131.36</w:t>
            </w:r>
          </w:p>
        </w:tc>
        <w:tc>
          <w:tcPr>
            <w:tcW w:w="1021" w:type="pct"/>
            <w:vAlign w:val="center"/>
          </w:tcPr>
          <w:p w14:paraId="78FBC3F6">
            <w:pPr>
              <w:pStyle w:val="29"/>
              <w:snapToGrid w:val="0"/>
              <w:spacing w:line="300" w:lineRule="auto"/>
              <w:rPr>
                <w:rFonts w:hint="default" w:eastAsia="仿宋_GB2312"/>
                <w:color w:val="auto"/>
                <w:szCs w:val="24"/>
              </w:rPr>
            </w:pPr>
            <w:r>
              <w:rPr>
                <w:rFonts w:eastAsia="仿宋_GB2312"/>
                <w:color w:val="auto"/>
                <w:szCs w:val="24"/>
              </w:rPr>
              <w:t>100.00%</w:t>
            </w:r>
          </w:p>
        </w:tc>
      </w:tr>
      <w:tr w14:paraId="5CF4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vAlign w:val="center"/>
          </w:tcPr>
          <w:p w14:paraId="4A3B3ADE">
            <w:pPr>
              <w:pStyle w:val="29"/>
              <w:snapToGrid w:val="0"/>
              <w:spacing w:line="300" w:lineRule="auto"/>
              <w:jc w:val="both"/>
              <w:rPr>
                <w:rFonts w:hint="default"/>
                <w:color w:val="auto"/>
              </w:rPr>
            </w:pPr>
            <w:r>
              <w:rPr>
                <w:rFonts w:eastAsia="仿宋_GB2312"/>
                <w:b/>
                <w:color w:val="auto"/>
                <w:szCs w:val="24"/>
              </w:rPr>
              <w:t>项目支出</w:t>
            </w:r>
          </w:p>
        </w:tc>
        <w:tc>
          <w:tcPr>
            <w:tcW w:w="739" w:type="pct"/>
            <w:vAlign w:val="center"/>
          </w:tcPr>
          <w:p w14:paraId="4CB843BA">
            <w:pPr>
              <w:pStyle w:val="29"/>
              <w:snapToGrid w:val="0"/>
              <w:spacing w:line="300" w:lineRule="auto"/>
              <w:rPr>
                <w:rFonts w:hint="default" w:eastAsia="仿宋_GB2312"/>
                <w:color w:val="auto"/>
                <w:szCs w:val="24"/>
              </w:rPr>
            </w:pPr>
            <w:r>
              <w:rPr>
                <w:rFonts w:eastAsia="仿宋_GB2312"/>
                <w:color w:val="auto"/>
                <w:szCs w:val="24"/>
              </w:rPr>
              <w:t>44.00</w:t>
            </w:r>
          </w:p>
        </w:tc>
        <w:tc>
          <w:tcPr>
            <w:tcW w:w="1179" w:type="pct"/>
            <w:vAlign w:val="center"/>
          </w:tcPr>
          <w:p w14:paraId="77C502B9">
            <w:pPr>
              <w:pStyle w:val="29"/>
              <w:snapToGrid w:val="0"/>
              <w:spacing w:line="300" w:lineRule="auto"/>
              <w:rPr>
                <w:rFonts w:hint="default" w:eastAsia="仿宋_GB2312"/>
                <w:color w:val="auto"/>
                <w:szCs w:val="24"/>
              </w:rPr>
            </w:pPr>
            <w:r>
              <w:rPr>
                <w:rFonts w:eastAsia="仿宋_GB2312"/>
                <w:color w:val="auto"/>
                <w:szCs w:val="24"/>
              </w:rPr>
              <w:t>546.12</w:t>
            </w:r>
          </w:p>
        </w:tc>
        <w:tc>
          <w:tcPr>
            <w:tcW w:w="1021" w:type="pct"/>
            <w:vAlign w:val="center"/>
          </w:tcPr>
          <w:p w14:paraId="206B229D">
            <w:pPr>
              <w:pStyle w:val="29"/>
              <w:snapToGrid w:val="0"/>
              <w:spacing w:line="300" w:lineRule="auto"/>
              <w:rPr>
                <w:rFonts w:hint="default" w:eastAsia="仿宋_GB2312"/>
                <w:color w:val="auto"/>
                <w:szCs w:val="24"/>
              </w:rPr>
            </w:pPr>
            <w:r>
              <w:rPr>
                <w:rFonts w:eastAsia="仿宋_GB2312"/>
                <w:color w:val="auto"/>
                <w:szCs w:val="24"/>
              </w:rPr>
              <w:t>546.12</w:t>
            </w:r>
          </w:p>
        </w:tc>
        <w:tc>
          <w:tcPr>
            <w:tcW w:w="1021" w:type="pct"/>
            <w:vAlign w:val="center"/>
          </w:tcPr>
          <w:p w14:paraId="0B6F5B4C">
            <w:pPr>
              <w:pStyle w:val="29"/>
              <w:snapToGrid w:val="0"/>
              <w:spacing w:line="300" w:lineRule="auto"/>
              <w:rPr>
                <w:rFonts w:hint="default" w:eastAsia="仿宋_GB2312"/>
                <w:color w:val="auto"/>
                <w:szCs w:val="24"/>
              </w:rPr>
            </w:pPr>
            <w:r>
              <w:rPr>
                <w:rFonts w:eastAsia="仿宋_GB2312"/>
                <w:color w:val="auto"/>
                <w:szCs w:val="24"/>
              </w:rPr>
              <w:t>100.00%</w:t>
            </w:r>
          </w:p>
        </w:tc>
      </w:tr>
      <w:tr w14:paraId="5266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vAlign w:val="center"/>
          </w:tcPr>
          <w:p w14:paraId="1978609F">
            <w:pPr>
              <w:pStyle w:val="29"/>
              <w:snapToGrid w:val="0"/>
              <w:spacing w:line="300" w:lineRule="auto"/>
              <w:rPr>
                <w:rFonts w:hint="default"/>
                <w:color w:val="auto"/>
              </w:rPr>
            </w:pPr>
            <w:r>
              <w:rPr>
                <w:rFonts w:eastAsia="仿宋_GB2312"/>
                <w:b/>
                <w:color w:val="auto"/>
                <w:szCs w:val="24"/>
              </w:rPr>
              <w:t>合计</w:t>
            </w:r>
          </w:p>
        </w:tc>
        <w:tc>
          <w:tcPr>
            <w:tcW w:w="739" w:type="pct"/>
            <w:vAlign w:val="center"/>
          </w:tcPr>
          <w:p w14:paraId="40D33433">
            <w:pPr>
              <w:pStyle w:val="29"/>
              <w:snapToGrid w:val="0"/>
              <w:spacing w:line="300" w:lineRule="auto"/>
              <w:rPr>
                <w:rFonts w:hint="default" w:eastAsia="仿宋_GB2312"/>
                <w:color w:val="auto"/>
                <w:szCs w:val="24"/>
              </w:rPr>
            </w:pPr>
            <w:r>
              <w:rPr>
                <w:rFonts w:eastAsia="仿宋_GB2312"/>
                <w:color w:val="auto"/>
                <w:szCs w:val="24"/>
              </w:rPr>
              <w:t>2,375.76</w:t>
            </w:r>
          </w:p>
        </w:tc>
        <w:tc>
          <w:tcPr>
            <w:tcW w:w="1179" w:type="pct"/>
            <w:vAlign w:val="center"/>
          </w:tcPr>
          <w:p w14:paraId="58EB02B0">
            <w:pPr>
              <w:pStyle w:val="29"/>
              <w:snapToGrid w:val="0"/>
              <w:spacing w:line="300" w:lineRule="auto"/>
              <w:rPr>
                <w:rFonts w:hint="default" w:eastAsia="仿宋_GB2312"/>
                <w:color w:val="auto"/>
                <w:szCs w:val="24"/>
              </w:rPr>
            </w:pPr>
            <w:r>
              <w:rPr>
                <w:rFonts w:eastAsia="仿宋_GB2312"/>
                <w:color w:val="auto"/>
                <w:szCs w:val="24"/>
              </w:rPr>
              <w:t>2,950.73</w:t>
            </w:r>
          </w:p>
        </w:tc>
        <w:tc>
          <w:tcPr>
            <w:tcW w:w="1021" w:type="pct"/>
            <w:vAlign w:val="center"/>
          </w:tcPr>
          <w:p w14:paraId="6F66A12E">
            <w:pPr>
              <w:pStyle w:val="29"/>
              <w:snapToGrid w:val="0"/>
              <w:spacing w:line="300" w:lineRule="auto"/>
              <w:rPr>
                <w:rFonts w:hint="default" w:eastAsia="仿宋_GB2312"/>
                <w:color w:val="auto"/>
                <w:szCs w:val="24"/>
              </w:rPr>
            </w:pPr>
            <w:r>
              <w:rPr>
                <w:rFonts w:eastAsia="仿宋_GB2312"/>
                <w:color w:val="auto"/>
                <w:szCs w:val="24"/>
              </w:rPr>
              <w:t>2,950.73</w:t>
            </w:r>
          </w:p>
        </w:tc>
        <w:tc>
          <w:tcPr>
            <w:tcW w:w="1021" w:type="pct"/>
            <w:vAlign w:val="center"/>
          </w:tcPr>
          <w:p w14:paraId="22F58052">
            <w:pPr>
              <w:pStyle w:val="29"/>
              <w:snapToGrid w:val="0"/>
              <w:spacing w:line="300" w:lineRule="auto"/>
              <w:rPr>
                <w:rFonts w:hint="default" w:eastAsia="仿宋_GB2312"/>
                <w:color w:val="auto"/>
                <w:szCs w:val="24"/>
              </w:rPr>
            </w:pPr>
            <w:r>
              <w:rPr>
                <w:rFonts w:eastAsia="仿宋_GB2312"/>
                <w:color w:val="auto"/>
                <w:szCs w:val="24"/>
              </w:rPr>
              <w:t>100.00%</w:t>
            </w:r>
          </w:p>
        </w:tc>
      </w:tr>
      <w:bookmarkEnd w:id="14"/>
    </w:tbl>
    <w:p w14:paraId="0FE7A6A4">
      <w:pPr>
        <w:spacing w:line="590" w:lineRule="exact"/>
        <w:ind w:firstLine="643"/>
        <w:rPr>
          <w:rFonts w:eastAsia="仿宋_GB2312"/>
          <w:b/>
          <w:bCs/>
          <w:color w:val="auto"/>
        </w:rPr>
      </w:pPr>
      <w:r>
        <w:rPr>
          <w:rFonts w:hint="eastAsia" w:eastAsia="仿宋_GB2312"/>
          <w:b/>
          <w:bCs/>
          <w:color w:val="auto"/>
        </w:rPr>
        <w:t>2.2024年度“三公”经费及会议费、培训费情况</w:t>
      </w:r>
    </w:p>
    <w:p w14:paraId="538CF4D5">
      <w:pPr>
        <w:spacing w:line="590" w:lineRule="exact"/>
        <w:ind w:firstLine="640"/>
        <w:rPr>
          <w:rFonts w:eastAsia="仿宋_GB2312"/>
          <w:color w:val="auto"/>
        </w:rPr>
      </w:pPr>
      <w:bookmarkStart w:id="15" w:name="_Hlk169188588"/>
      <w:r>
        <w:rPr>
          <w:rFonts w:hint="eastAsia" w:eastAsia="仿宋_GB2312"/>
          <w:color w:val="auto"/>
        </w:rPr>
        <w:t>（1）2024年度部门“三公”经费情况</w:t>
      </w:r>
      <w:bookmarkEnd w:id="15"/>
    </w:p>
    <w:p w14:paraId="4FD5D1CB">
      <w:pPr>
        <w:spacing w:line="590" w:lineRule="exact"/>
        <w:ind w:firstLine="640"/>
        <w:rPr>
          <w:rFonts w:eastAsia="仿宋_GB2312"/>
          <w:color w:val="auto"/>
        </w:rPr>
      </w:pPr>
      <w:bookmarkStart w:id="16" w:name="_Hlk169188635"/>
      <w:r>
        <w:rPr>
          <w:rFonts w:hint="eastAsia" w:eastAsia="仿宋_GB2312"/>
          <w:color w:val="auto"/>
        </w:rPr>
        <w:t>2024年度南京市供销合作总社“三公”经费预算安排5.67万元，其中：</w:t>
      </w:r>
      <w:bookmarkStart w:id="17" w:name="_Hlk169185106"/>
      <w:r>
        <w:rPr>
          <w:rFonts w:hint="eastAsia" w:eastAsia="仿宋_GB2312"/>
          <w:color w:val="auto"/>
        </w:rPr>
        <w:t>公务用车购置及运行维护费</w:t>
      </w:r>
      <w:bookmarkEnd w:id="17"/>
      <w:r>
        <w:rPr>
          <w:rFonts w:hint="eastAsia" w:eastAsia="仿宋_GB2312"/>
          <w:color w:val="auto"/>
        </w:rPr>
        <w:t>预算安排3.17万元，公务接待费预算安排2.50万元。“三公”经费实际执行2.72万元，预算执行率47.97%，其中：公务用车购置及运行维护费实际执行1.93万元，公务接待费实际执行0.79万元。具体情况见下表：</w:t>
      </w:r>
    </w:p>
    <w:bookmarkEnd w:id="16"/>
    <w:p w14:paraId="73CA7DB4">
      <w:pPr>
        <w:wordWrap w:val="0"/>
        <w:spacing w:line="300" w:lineRule="exact"/>
        <w:ind w:left="641" w:firstLine="0" w:firstLineChars="0"/>
        <w:jc w:val="right"/>
        <w:rPr>
          <w:sz w:val="28"/>
          <w:szCs w:val="28"/>
        </w:rPr>
      </w:pPr>
      <w:r>
        <w:rPr>
          <w:rFonts w:hint="eastAsia"/>
          <w:sz w:val="28"/>
          <w:szCs w:val="28"/>
        </w:rPr>
        <w:t xml:space="preserve">单位：万元   </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0"/>
        <w:gridCol w:w="1845"/>
        <w:gridCol w:w="997"/>
        <w:gridCol w:w="994"/>
        <w:gridCol w:w="1280"/>
        <w:gridCol w:w="1562"/>
        <w:gridCol w:w="1187"/>
      </w:tblGrid>
      <w:tr w14:paraId="5016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601" w:type="pct"/>
            <w:gridSpan w:val="2"/>
          </w:tcPr>
          <w:p w14:paraId="0B8C583F">
            <w:pPr>
              <w:pStyle w:val="29"/>
              <w:snapToGrid w:val="0"/>
              <w:spacing w:line="300" w:lineRule="auto"/>
              <w:rPr>
                <w:rFonts w:hint="default" w:eastAsia="仿宋_GB2312"/>
                <w:b/>
                <w:color w:val="auto"/>
                <w:szCs w:val="24"/>
              </w:rPr>
            </w:pPr>
            <w:bookmarkStart w:id="18" w:name="_Hlk169188771"/>
            <w:r>
              <w:rPr>
                <w:rFonts w:eastAsia="仿宋_GB2312"/>
                <w:b/>
                <w:color w:val="auto"/>
                <w:szCs w:val="24"/>
              </w:rPr>
              <w:t>项目</w:t>
            </w:r>
          </w:p>
        </w:tc>
        <w:tc>
          <w:tcPr>
            <w:tcW w:w="563" w:type="pct"/>
          </w:tcPr>
          <w:p w14:paraId="193EBEB5">
            <w:pPr>
              <w:pStyle w:val="29"/>
              <w:snapToGrid w:val="0"/>
              <w:spacing w:line="300" w:lineRule="auto"/>
              <w:rPr>
                <w:rFonts w:hint="default" w:eastAsia="仿宋_GB2312"/>
                <w:b/>
                <w:color w:val="auto"/>
                <w:szCs w:val="24"/>
              </w:rPr>
            </w:pPr>
            <w:r>
              <w:rPr>
                <w:rFonts w:eastAsia="仿宋_GB2312"/>
                <w:b/>
                <w:color w:val="auto"/>
                <w:szCs w:val="24"/>
              </w:rPr>
              <w:t>预算数</w:t>
            </w:r>
          </w:p>
        </w:tc>
        <w:tc>
          <w:tcPr>
            <w:tcW w:w="561" w:type="pct"/>
          </w:tcPr>
          <w:p w14:paraId="74298702">
            <w:pPr>
              <w:pStyle w:val="29"/>
              <w:snapToGrid w:val="0"/>
              <w:spacing w:line="300" w:lineRule="auto"/>
              <w:rPr>
                <w:rFonts w:hint="default" w:eastAsia="仿宋_GB2312"/>
                <w:b/>
                <w:color w:val="auto"/>
                <w:szCs w:val="24"/>
              </w:rPr>
            </w:pPr>
            <w:r>
              <w:rPr>
                <w:rFonts w:eastAsia="仿宋_GB2312"/>
                <w:b/>
                <w:color w:val="auto"/>
                <w:szCs w:val="24"/>
              </w:rPr>
              <w:t>决算数</w:t>
            </w:r>
          </w:p>
        </w:tc>
        <w:tc>
          <w:tcPr>
            <w:tcW w:w="723" w:type="pct"/>
          </w:tcPr>
          <w:p w14:paraId="03A13D31">
            <w:pPr>
              <w:pStyle w:val="29"/>
              <w:snapToGrid w:val="0"/>
              <w:spacing w:line="300" w:lineRule="auto"/>
              <w:rPr>
                <w:rFonts w:hint="default" w:eastAsia="仿宋_GB2312"/>
                <w:b/>
                <w:color w:val="auto"/>
                <w:szCs w:val="24"/>
              </w:rPr>
            </w:pPr>
            <w:r>
              <w:rPr>
                <w:rFonts w:eastAsia="仿宋_GB2312"/>
                <w:b/>
                <w:color w:val="auto"/>
                <w:szCs w:val="24"/>
              </w:rPr>
              <w:t>预算执行率</w:t>
            </w:r>
          </w:p>
        </w:tc>
        <w:tc>
          <w:tcPr>
            <w:tcW w:w="882" w:type="pct"/>
          </w:tcPr>
          <w:p w14:paraId="5AFF0E57">
            <w:pPr>
              <w:pStyle w:val="29"/>
              <w:snapToGrid w:val="0"/>
              <w:spacing w:line="300" w:lineRule="auto"/>
              <w:rPr>
                <w:rFonts w:hint="default" w:eastAsia="仿宋_GB2312"/>
                <w:b/>
                <w:color w:val="auto"/>
                <w:szCs w:val="24"/>
              </w:rPr>
            </w:pPr>
            <w:r>
              <w:rPr>
                <w:rFonts w:eastAsia="仿宋_GB2312"/>
                <w:b/>
                <w:color w:val="auto"/>
                <w:szCs w:val="24"/>
              </w:rPr>
              <w:t>上年度决算数</w:t>
            </w:r>
          </w:p>
        </w:tc>
        <w:tc>
          <w:tcPr>
            <w:tcW w:w="670" w:type="pct"/>
          </w:tcPr>
          <w:p w14:paraId="09A6C0A8">
            <w:pPr>
              <w:pStyle w:val="29"/>
              <w:snapToGrid w:val="0"/>
              <w:spacing w:line="300" w:lineRule="auto"/>
              <w:rPr>
                <w:rFonts w:hint="default" w:eastAsia="仿宋_GB2312"/>
                <w:b/>
                <w:color w:val="auto"/>
                <w:szCs w:val="24"/>
              </w:rPr>
            </w:pPr>
            <w:r>
              <w:rPr>
                <w:rFonts w:eastAsia="仿宋_GB2312"/>
                <w:b/>
                <w:color w:val="auto"/>
                <w:szCs w:val="24"/>
              </w:rPr>
              <w:t>变动率</w:t>
            </w:r>
          </w:p>
        </w:tc>
      </w:tr>
      <w:tr w14:paraId="671F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exact"/>
        </w:trPr>
        <w:tc>
          <w:tcPr>
            <w:tcW w:w="559" w:type="pct"/>
            <w:vMerge w:val="restart"/>
            <w:vAlign w:val="center"/>
          </w:tcPr>
          <w:p w14:paraId="3EC272A3">
            <w:pPr>
              <w:pStyle w:val="29"/>
              <w:overflowPunct w:val="0"/>
              <w:rPr>
                <w:rFonts w:hint="default" w:eastAsia="仿宋_GB2312"/>
                <w:color w:val="auto"/>
                <w:szCs w:val="24"/>
              </w:rPr>
            </w:pPr>
            <w:r>
              <w:rPr>
                <w:rFonts w:eastAsia="仿宋_GB2312"/>
                <w:color w:val="auto"/>
                <w:szCs w:val="24"/>
              </w:rPr>
              <w:t>“三公”经费</w:t>
            </w:r>
          </w:p>
        </w:tc>
        <w:tc>
          <w:tcPr>
            <w:tcW w:w="1042" w:type="pct"/>
            <w:vAlign w:val="center"/>
          </w:tcPr>
          <w:p w14:paraId="6D35CE4C">
            <w:pPr>
              <w:pStyle w:val="29"/>
              <w:overflowPunct w:val="0"/>
              <w:rPr>
                <w:rFonts w:hint="default" w:eastAsia="仿宋_GB2312"/>
                <w:color w:val="auto"/>
                <w:szCs w:val="24"/>
              </w:rPr>
            </w:pPr>
            <w:r>
              <w:rPr>
                <w:rFonts w:eastAsia="仿宋_GB2312"/>
                <w:color w:val="auto"/>
                <w:szCs w:val="24"/>
              </w:rPr>
              <w:t>因公出国（境）费</w:t>
            </w:r>
          </w:p>
        </w:tc>
        <w:tc>
          <w:tcPr>
            <w:tcW w:w="563" w:type="pct"/>
            <w:vAlign w:val="center"/>
          </w:tcPr>
          <w:p w14:paraId="3C7C78F7">
            <w:pPr>
              <w:pStyle w:val="29"/>
              <w:snapToGrid w:val="0"/>
              <w:spacing w:line="300" w:lineRule="auto"/>
              <w:rPr>
                <w:rFonts w:hint="default" w:eastAsia="仿宋_GB2312"/>
                <w:color w:val="auto"/>
                <w:szCs w:val="24"/>
              </w:rPr>
            </w:pPr>
            <w:r>
              <w:rPr>
                <w:rFonts w:eastAsia="仿宋_GB2312"/>
                <w:color w:val="auto"/>
                <w:szCs w:val="24"/>
              </w:rPr>
              <w:t>0.00</w:t>
            </w:r>
          </w:p>
        </w:tc>
        <w:tc>
          <w:tcPr>
            <w:tcW w:w="561" w:type="pct"/>
            <w:vAlign w:val="center"/>
          </w:tcPr>
          <w:p w14:paraId="3DDB58F8">
            <w:pPr>
              <w:pStyle w:val="29"/>
              <w:snapToGrid w:val="0"/>
              <w:spacing w:line="300" w:lineRule="auto"/>
              <w:rPr>
                <w:rFonts w:hint="default" w:eastAsia="仿宋_GB2312"/>
                <w:color w:val="auto"/>
                <w:szCs w:val="24"/>
              </w:rPr>
            </w:pPr>
            <w:r>
              <w:rPr>
                <w:rFonts w:eastAsia="仿宋_GB2312"/>
                <w:color w:val="auto"/>
                <w:szCs w:val="24"/>
              </w:rPr>
              <w:t>0.00</w:t>
            </w:r>
          </w:p>
        </w:tc>
        <w:tc>
          <w:tcPr>
            <w:tcW w:w="723" w:type="pct"/>
            <w:vAlign w:val="center"/>
          </w:tcPr>
          <w:p w14:paraId="59AB6E5E">
            <w:pPr>
              <w:pStyle w:val="29"/>
              <w:snapToGrid w:val="0"/>
              <w:spacing w:line="300" w:lineRule="auto"/>
              <w:rPr>
                <w:rFonts w:hint="default" w:eastAsia="仿宋_GB2312"/>
                <w:color w:val="auto"/>
                <w:szCs w:val="24"/>
              </w:rPr>
            </w:pPr>
            <w:r>
              <w:rPr>
                <w:rFonts w:eastAsia="仿宋_GB2312"/>
                <w:color w:val="auto"/>
                <w:szCs w:val="24"/>
              </w:rPr>
              <w:t>100.00%</w:t>
            </w:r>
          </w:p>
        </w:tc>
        <w:tc>
          <w:tcPr>
            <w:tcW w:w="882" w:type="pct"/>
            <w:vAlign w:val="center"/>
          </w:tcPr>
          <w:p w14:paraId="594DBC3B">
            <w:pPr>
              <w:pStyle w:val="29"/>
              <w:snapToGrid w:val="0"/>
              <w:spacing w:line="300" w:lineRule="auto"/>
              <w:rPr>
                <w:rFonts w:hint="default" w:eastAsia="仿宋_GB2312"/>
                <w:color w:val="auto"/>
                <w:szCs w:val="24"/>
              </w:rPr>
            </w:pPr>
            <w:r>
              <w:rPr>
                <w:rFonts w:eastAsia="仿宋_GB2312"/>
                <w:color w:val="auto"/>
                <w:szCs w:val="24"/>
              </w:rPr>
              <w:t>0.00</w:t>
            </w:r>
          </w:p>
        </w:tc>
        <w:tc>
          <w:tcPr>
            <w:tcW w:w="670" w:type="pct"/>
            <w:vAlign w:val="center"/>
          </w:tcPr>
          <w:p w14:paraId="65B48C27">
            <w:pPr>
              <w:pStyle w:val="29"/>
              <w:snapToGrid w:val="0"/>
              <w:spacing w:line="300" w:lineRule="auto"/>
              <w:rPr>
                <w:rFonts w:hint="default" w:eastAsia="仿宋_GB2312"/>
                <w:color w:val="auto"/>
                <w:szCs w:val="24"/>
              </w:rPr>
            </w:pPr>
            <w:r>
              <w:rPr>
                <w:rFonts w:eastAsia="仿宋_GB2312"/>
                <w:color w:val="auto"/>
                <w:szCs w:val="24"/>
              </w:rPr>
              <w:t>0.00%</w:t>
            </w:r>
          </w:p>
        </w:tc>
      </w:tr>
      <w:tr w14:paraId="1DC18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5" w:hRule="exact"/>
        </w:trPr>
        <w:tc>
          <w:tcPr>
            <w:tcW w:w="559" w:type="pct"/>
            <w:vMerge w:val="continue"/>
            <w:vAlign w:val="center"/>
          </w:tcPr>
          <w:p w14:paraId="6E0B1DFD">
            <w:pPr>
              <w:pStyle w:val="29"/>
              <w:overflowPunct w:val="0"/>
              <w:rPr>
                <w:rFonts w:hint="default" w:eastAsia="仿宋_GB2312"/>
                <w:color w:val="auto"/>
                <w:szCs w:val="24"/>
              </w:rPr>
            </w:pPr>
          </w:p>
        </w:tc>
        <w:tc>
          <w:tcPr>
            <w:tcW w:w="1042" w:type="pct"/>
            <w:vAlign w:val="center"/>
          </w:tcPr>
          <w:p w14:paraId="657AFC0F">
            <w:pPr>
              <w:pStyle w:val="29"/>
              <w:overflowPunct w:val="0"/>
              <w:rPr>
                <w:rFonts w:hint="default" w:eastAsia="仿宋_GB2312"/>
                <w:color w:val="auto"/>
                <w:szCs w:val="24"/>
              </w:rPr>
            </w:pPr>
            <w:r>
              <w:rPr>
                <w:rFonts w:eastAsia="仿宋_GB2312"/>
                <w:color w:val="auto"/>
                <w:szCs w:val="24"/>
              </w:rPr>
              <w:t>公务用车购置及运行维护费</w:t>
            </w:r>
          </w:p>
        </w:tc>
        <w:tc>
          <w:tcPr>
            <w:tcW w:w="563" w:type="pct"/>
            <w:vAlign w:val="center"/>
          </w:tcPr>
          <w:p w14:paraId="2F1CD715">
            <w:pPr>
              <w:pStyle w:val="29"/>
              <w:snapToGrid w:val="0"/>
              <w:spacing w:line="300" w:lineRule="auto"/>
              <w:rPr>
                <w:rFonts w:hint="default" w:eastAsia="仿宋_GB2312"/>
                <w:color w:val="auto"/>
                <w:szCs w:val="24"/>
              </w:rPr>
            </w:pPr>
            <w:r>
              <w:rPr>
                <w:rFonts w:eastAsia="仿宋_GB2312"/>
                <w:color w:val="auto"/>
                <w:szCs w:val="24"/>
              </w:rPr>
              <w:t>3.17</w:t>
            </w:r>
          </w:p>
        </w:tc>
        <w:tc>
          <w:tcPr>
            <w:tcW w:w="561" w:type="pct"/>
            <w:vAlign w:val="center"/>
          </w:tcPr>
          <w:p w14:paraId="3EE3BB85">
            <w:pPr>
              <w:pStyle w:val="29"/>
              <w:snapToGrid w:val="0"/>
              <w:spacing w:line="300" w:lineRule="auto"/>
              <w:rPr>
                <w:rFonts w:hint="default" w:eastAsia="仿宋_GB2312"/>
                <w:color w:val="auto"/>
                <w:szCs w:val="24"/>
              </w:rPr>
            </w:pPr>
            <w:r>
              <w:rPr>
                <w:rFonts w:eastAsia="仿宋_GB2312"/>
                <w:color w:val="auto"/>
                <w:szCs w:val="24"/>
              </w:rPr>
              <w:t>1.93</w:t>
            </w:r>
          </w:p>
        </w:tc>
        <w:tc>
          <w:tcPr>
            <w:tcW w:w="723" w:type="pct"/>
            <w:vAlign w:val="center"/>
          </w:tcPr>
          <w:p w14:paraId="6941F02D">
            <w:pPr>
              <w:pStyle w:val="29"/>
              <w:snapToGrid w:val="0"/>
              <w:spacing w:line="300" w:lineRule="auto"/>
              <w:rPr>
                <w:rFonts w:hint="default" w:eastAsia="仿宋_GB2312"/>
                <w:color w:val="auto"/>
                <w:szCs w:val="24"/>
              </w:rPr>
            </w:pPr>
            <w:r>
              <w:rPr>
                <w:rFonts w:eastAsia="仿宋_GB2312"/>
                <w:color w:val="auto"/>
                <w:szCs w:val="24"/>
              </w:rPr>
              <w:t>60.88%</w:t>
            </w:r>
          </w:p>
        </w:tc>
        <w:tc>
          <w:tcPr>
            <w:tcW w:w="882" w:type="pct"/>
            <w:vAlign w:val="center"/>
          </w:tcPr>
          <w:p w14:paraId="7FD41A7C">
            <w:pPr>
              <w:pStyle w:val="29"/>
              <w:snapToGrid w:val="0"/>
              <w:spacing w:line="300" w:lineRule="auto"/>
              <w:rPr>
                <w:rFonts w:hint="default" w:eastAsia="仿宋_GB2312"/>
                <w:color w:val="auto"/>
                <w:szCs w:val="24"/>
              </w:rPr>
            </w:pPr>
            <w:r>
              <w:rPr>
                <w:rFonts w:eastAsia="仿宋_GB2312"/>
                <w:color w:val="auto"/>
                <w:szCs w:val="24"/>
              </w:rPr>
              <w:t>1.89</w:t>
            </w:r>
          </w:p>
        </w:tc>
        <w:tc>
          <w:tcPr>
            <w:tcW w:w="670" w:type="pct"/>
            <w:vAlign w:val="center"/>
          </w:tcPr>
          <w:p w14:paraId="572394D8">
            <w:pPr>
              <w:pStyle w:val="29"/>
              <w:snapToGrid w:val="0"/>
              <w:spacing w:line="300" w:lineRule="auto"/>
              <w:rPr>
                <w:rFonts w:hint="default" w:eastAsia="仿宋_GB2312"/>
                <w:color w:val="auto"/>
                <w:szCs w:val="24"/>
              </w:rPr>
            </w:pPr>
            <w:r>
              <w:rPr>
                <w:rFonts w:eastAsia="仿宋_GB2312"/>
                <w:color w:val="auto"/>
                <w:szCs w:val="24"/>
              </w:rPr>
              <w:t>2.12%</w:t>
            </w:r>
          </w:p>
        </w:tc>
      </w:tr>
      <w:tr w14:paraId="3143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9" w:hRule="exact"/>
        </w:trPr>
        <w:tc>
          <w:tcPr>
            <w:tcW w:w="559" w:type="pct"/>
            <w:vMerge w:val="continue"/>
            <w:vAlign w:val="center"/>
          </w:tcPr>
          <w:p w14:paraId="286925AC">
            <w:pPr>
              <w:pStyle w:val="29"/>
              <w:overflowPunct w:val="0"/>
              <w:rPr>
                <w:rFonts w:hint="default" w:eastAsia="仿宋_GB2312"/>
                <w:color w:val="auto"/>
                <w:szCs w:val="24"/>
              </w:rPr>
            </w:pPr>
          </w:p>
        </w:tc>
        <w:tc>
          <w:tcPr>
            <w:tcW w:w="1042" w:type="pct"/>
            <w:vAlign w:val="center"/>
          </w:tcPr>
          <w:p w14:paraId="470BF9F0">
            <w:pPr>
              <w:pStyle w:val="29"/>
              <w:overflowPunct w:val="0"/>
              <w:rPr>
                <w:rFonts w:hint="default" w:eastAsia="仿宋_GB2312"/>
                <w:color w:val="auto"/>
                <w:szCs w:val="24"/>
              </w:rPr>
            </w:pPr>
            <w:r>
              <w:rPr>
                <w:rFonts w:eastAsia="仿宋_GB2312"/>
                <w:color w:val="auto"/>
                <w:szCs w:val="24"/>
              </w:rPr>
              <w:t>公务接待费</w:t>
            </w:r>
          </w:p>
        </w:tc>
        <w:tc>
          <w:tcPr>
            <w:tcW w:w="563" w:type="pct"/>
            <w:vAlign w:val="center"/>
          </w:tcPr>
          <w:p w14:paraId="5578BBB2">
            <w:pPr>
              <w:pStyle w:val="29"/>
              <w:snapToGrid w:val="0"/>
              <w:spacing w:line="300" w:lineRule="auto"/>
              <w:rPr>
                <w:rFonts w:hint="default" w:eastAsia="仿宋_GB2312"/>
                <w:color w:val="auto"/>
                <w:szCs w:val="24"/>
              </w:rPr>
            </w:pPr>
            <w:r>
              <w:rPr>
                <w:rFonts w:eastAsia="仿宋_GB2312"/>
                <w:color w:val="auto"/>
                <w:szCs w:val="24"/>
              </w:rPr>
              <w:t>2.50</w:t>
            </w:r>
          </w:p>
        </w:tc>
        <w:tc>
          <w:tcPr>
            <w:tcW w:w="561" w:type="pct"/>
            <w:vAlign w:val="center"/>
          </w:tcPr>
          <w:p w14:paraId="0A9B9972">
            <w:pPr>
              <w:pStyle w:val="29"/>
              <w:snapToGrid w:val="0"/>
              <w:spacing w:line="300" w:lineRule="auto"/>
              <w:rPr>
                <w:rFonts w:hint="default" w:eastAsia="仿宋_GB2312"/>
                <w:color w:val="auto"/>
                <w:szCs w:val="24"/>
              </w:rPr>
            </w:pPr>
            <w:r>
              <w:rPr>
                <w:rFonts w:eastAsia="仿宋_GB2312"/>
                <w:color w:val="auto"/>
                <w:szCs w:val="24"/>
              </w:rPr>
              <w:t>0.79</w:t>
            </w:r>
          </w:p>
        </w:tc>
        <w:tc>
          <w:tcPr>
            <w:tcW w:w="723" w:type="pct"/>
            <w:vAlign w:val="center"/>
          </w:tcPr>
          <w:p w14:paraId="198C1D1B">
            <w:pPr>
              <w:pStyle w:val="29"/>
              <w:snapToGrid w:val="0"/>
              <w:spacing w:line="300" w:lineRule="auto"/>
              <w:rPr>
                <w:rFonts w:hint="default" w:eastAsia="仿宋_GB2312"/>
                <w:color w:val="auto"/>
                <w:szCs w:val="24"/>
              </w:rPr>
            </w:pPr>
            <w:r>
              <w:rPr>
                <w:rFonts w:eastAsia="仿宋_GB2312"/>
                <w:color w:val="auto"/>
                <w:szCs w:val="24"/>
              </w:rPr>
              <w:t>31.60%</w:t>
            </w:r>
          </w:p>
        </w:tc>
        <w:tc>
          <w:tcPr>
            <w:tcW w:w="882" w:type="pct"/>
            <w:vAlign w:val="center"/>
          </w:tcPr>
          <w:p w14:paraId="6C174652">
            <w:pPr>
              <w:pStyle w:val="29"/>
              <w:snapToGrid w:val="0"/>
              <w:spacing w:line="300" w:lineRule="auto"/>
              <w:rPr>
                <w:rFonts w:hint="default" w:eastAsia="仿宋_GB2312"/>
                <w:color w:val="auto"/>
                <w:szCs w:val="24"/>
              </w:rPr>
            </w:pPr>
            <w:r>
              <w:rPr>
                <w:rFonts w:eastAsia="仿宋_GB2312"/>
                <w:color w:val="auto"/>
                <w:szCs w:val="24"/>
              </w:rPr>
              <w:t>0.14</w:t>
            </w:r>
          </w:p>
        </w:tc>
        <w:tc>
          <w:tcPr>
            <w:tcW w:w="670" w:type="pct"/>
            <w:vAlign w:val="center"/>
          </w:tcPr>
          <w:p w14:paraId="06103829">
            <w:pPr>
              <w:pStyle w:val="29"/>
              <w:snapToGrid w:val="0"/>
              <w:spacing w:line="300" w:lineRule="auto"/>
              <w:rPr>
                <w:rFonts w:hint="default" w:eastAsia="仿宋_GB2312"/>
                <w:color w:val="auto"/>
                <w:szCs w:val="24"/>
              </w:rPr>
            </w:pPr>
            <w:r>
              <w:rPr>
                <w:rFonts w:eastAsia="仿宋_GB2312"/>
                <w:color w:val="auto"/>
                <w:szCs w:val="24"/>
              </w:rPr>
              <w:t>464.29%</w:t>
            </w:r>
          </w:p>
        </w:tc>
      </w:tr>
      <w:tr w14:paraId="2E22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exact"/>
        </w:trPr>
        <w:tc>
          <w:tcPr>
            <w:tcW w:w="1601" w:type="pct"/>
            <w:gridSpan w:val="2"/>
            <w:vAlign w:val="center"/>
          </w:tcPr>
          <w:p w14:paraId="64E857A6">
            <w:pPr>
              <w:pStyle w:val="29"/>
              <w:snapToGrid w:val="0"/>
              <w:spacing w:line="300" w:lineRule="auto"/>
              <w:rPr>
                <w:rFonts w:hint="default"/>
                <w:color w:val="auto"/>
              </w:rPr>
            </w:pPr>
            <w:r>
              <w:rPr>
                <w:rFonts w:eastAsia="仿宋_GB2312"/>
                <w:b/>
                <w:color w:val="auto"/>
                <w:szCs w:val="24"/>
              </w:rPr>
              <w:t>合计</w:t>
            </w:r>
          </w:p>
        </w:tc>
        <w:tc>
          <w:tcPr>
            <w:tcW w:w="563" w:type="pct"/>
            <w:vAlign w:val="center"/>
          </w:tcPr>
          <w:p w14:paraId="5BE262B3">
            <w:pPr>
              <w:pStyle w:val="29"/>
              <w:snapToGrid w:val="0"/>
              <w:spacing w:line="300" w:lineRule="auto"/>
              <w:rPr>
                <w:rFonts w:hint="default" w:eastAsia="仿宋_GB2312"/>
                <w:color w:val="auto"/>
                <w:szCs w:val="24"/>
              </w:rPr>
            </w:pPr>
            <w:r>
              <w:rPr>
                <w:rFonts w:eastAsia="仿宋_GB2312"/>
                <w:color w:val="auto"/>
                <w:szCs w:val="24"/>
              </w:rPr>
              <w:t>5.67</w:t>
            </w:r>
          </w:p>
        </w:tc>
        <w:tc>
          <w:tcPr>
            <w:tcW w:w="561" w:type="pct"/>
            <w:vAlign w:val="center"/>
          </w:tcPr>
          <w:p w14:paraId="0E2E4252">
            <w:pPr>
              <w:pStyle w:val="29"/>
              <w:snapToGrid w:val="0"/>
              <w:spacing w:line="300" w:lineRule="auto"/>
              <w:rPr>
                <w:rFonts w:hint="default" w:eastAsia="仿宋_GB2312"/>
                <w:color w:val="auto"/>
                <w:szCs w:val="24"/>
              </w:rPr>
            </w:pPr>
            <w:r>
              <w:rPr>
                <w:rFonts w:eastAsia="仿宋_GB2312"/>
                <w:color w:val="auto"/>
                <w:szCs w:val="24"/>
              </w:rPr>
              <w:t>2.72</w:t>
            </w:r>
          </w:p>
        </w:tc>
        <w:tc>
          <w:tcPr>
            <w:tcW w:w="723" w:type="pct"/>
            <w:vAlign w:val="center"/>
          </w:tcPr>
          <w:p w14:paraId="669CF475">
            <w:pPr>
              <w:pStyle w:val="29"/>
              <w:snapToGrid w:val="0"/>
              <w:spacing w:line="300" w:lineRule="auto"/>
              <w:rPr>
                <w:rFonts w:hint="default" w:eastAsia="仿宋_GB2312"/>
                <w:color w:val="auto"/>
                <w:szCs w:val="24"/>
              </w:rPr>
            </w:pPr>
            <w:r>
              <w:rPr>
                <w:rFonts w:eastAsia="仿宋_GB2312"/>
                <w:color w:val="auto"/>
                <w:szCs w:val="24"/>
              </w:rPr>
              <w:t>47.97%</w:t>
            </w:r>
          </w:p>
        </w:tc>
        <w:tc>
          <w:tcPr>
            <w:tcW w:w="882" w:type="pct"/>
            <w:vAlign w:val="center"/>
          </w:tcPr>
          <w:p w14:paraId="6F5E0289">
            <w:pPr>
              <w:pStyle w:val="29"/>
              <w:snapToGrid w:val="0"/>
              <w:spacing w:line="300" w:lineRule="auto"/>
              <w:rPr>
                <w:rFonts w:hint="default" w:eastAsia="仿宋_GB2312"/>
                <w:color w:val="auto"/>
                <w:szCs w:val="24"/>
              </w:rPr>
            </w:pPr>
            <w:r>
              <w:rPr>
                <w:rFonts w:eastAsia="仿宋_GB2312"/>
                <w:color w:val="auto"/>
                <w:szCs w:val="24"/>
              </w:rPr>
              <w:t>2.03</w:t>
            </w:r>
          </w:p>
        </w:tc>
        <w:tc>
          <w:tcPr>
            <w:tcW w:w="670" w:type="pct"/>
            <w:vAlign w:val="center"/>
          </w:tcPr>
          <w:p w14:paraId="3BC95643">
            <w:pPr>
              <w:pStyle w:val="29"/>
              <w:snapToGrid w:val="0"/>
              <w:spacing w:line="300" w:lineRule="auto"/>
              <w:rPr>
                <w:rFonts w:hint="default" w:eastAsia="仿宋_GB2312"/>
                <w:color w:val="auto"/>
                <w:szCs w:val="24"/>
              </w:rPr>
            </w:pPr>
            <w:r>
              <w:rPr>
                <w:rFonts w:eastAsia="仿宋_GB2312"/>
                <w:color w:val="auto"/>
                <w:szCs w:val="24"/>
              </w:rPr>
              <w:t>33.99%</w:t>
            </w:r>
          </w:p>
        </w:tc>
      </w:tr>
      <w:bookmarkEnd w:id="18"/>
    </w:tbl>
    <w:p w14:paraId="449772FD">
      <w:pPr>
        <w:spacing w:line="590" w:lineRule="exact"/>
        <w:ind w:firstLine="640"/>
        <w:rPr>
          <w:rFonts w:eastAsia="仿宋_GB2312"/>
          <w:color w:val="auto"/>
        </w:rPr>
      </w:pPr>
      <w:r>
        <w:rPr>
          <w:rFonts w:hint="eastAsia" w:eastAsia="仿宋_GB2312"/>
          <w:color w:val="auto"/>
        </w:rPr>
        <w:t>（2）2024年度会议费、培训费情况</w:t>
      </w:r>
    </w:p>
    <w:p w14:paraId="78BCB598">
      <w:pPr>
        <w:spacing w:line="590" w:lineRule="exact"/>
        <w:ind w:firstLine="640"/>
        <w:rPr>
          <w:rFonts w:eastAsia="仿宋_GB2312"/>
          <w:color w:val="auto"/>
        </w:rPr>
      </w:pPr>
      <w:r>
        <w:rPr>
          <w:rFonts w:hint="eastAsia" w:eastAsia="仿宋_GB2312"/>
          <w:color w:val="auto"/>
        </w:rPr>
        <w:t>2024年度南京市供销合作总社会议费预算安排3万元，培训费预算安排</w:t>
      </w:r>
      <w:r>
        <w:rPr>
          <w:rFonts w:eastAsia="仿宋_GB2312"/>
          <w:color w:val="auto"/>
        </w:rPr>
        <w:t>9.50</w:t>
      </w:r>
      <w:r>
        <w:rPr>
          <w:rFonts w:hint="eastAsia" w:eastAsia="仿宋_GB2312"/>
          <w:color w:val="auto"/>
        </w:rPr>
        <w:t>万元。</w:t>
      </w:r>
      <w:bookmarkStart w:id="19" w:name="_Hlk169188737"/>
      <w:r>
        <w:rPr>
          <w:rFonts w:hint="eastAsia" w:eastAsia="仿宋_GB2312"/>
          <w:color w:val="auto"/>
        </w:rPr>
        <w:t>会议费实际执行0.57万元，预算执行率19%；</w:t>
      </w:r>
      <w:bookmarkEnd w:id="19"/>
      <w:r>
        <w:rPr>
          <w:rFonts w:hint="eastAsia" w:eastAsia="仿宋_GB2312"/>
          <w:color w:val="auto"/>
        </w:rPr>
        <w:t>培训费实际执行4.07万元，预算执行率</w:t>
      </w:r>
      <w:r>
        <w:rPr>
          <w:rFonts w:eastAsia="仿宋_GB2312"/>
          <w:color w:val="auto"/>
        </w:rPr>
        <w:t>42.84</w:t>
      </w:r>
      <w:r>
        <w:rPr>
          <w:rFonts w:hint="eastAsia" w:eastAsia="仿宋_GB2312"/>
          <w:color w:val="auto"/>
        </w:rPr>
        <w:t>%。具体情况见下表：</w:t>
      </w:r>
    </w:p>
    <w:p w14:paraId="0223CCBE">
      <w:pPr>
        <w:autoSpaceDE w:val="0"/>
        <w:autoSpaceDN w:val="0"/>
        <w:snapToGrid w:val="0"/>
        <w:spacing w:line="300" w:lineRule="auto"/>
        <w:ind w:firstLine="0" w:firstLineChars="0"/>
        <w:jc w:val="right"/>
        <w:rPr>
          <w:rFonts w:eastAsia="仿宋_GB2312" w:cs="仿宋"/>
          <w:color w:val="auto"/>
          <w:spacing w:val="35"/>
          <w:sz w:val="28"/>
        </w:rPr>
      </w:pPr>
      <w:r>
        <w:rPr>
          <w:rFonts w:hint="eastAsia" w:eastAsia="仿宋_GB2312" w:cs="仿宋"/>
          <w:color w:val="auto"/>
          <w:spacing w:val="35"/>
          <w:sz w:val="28"/>
        </w:rPr>
        <w:t>单位：万元</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1"/>
        <w:gridCol w:w="1137"/>
        <w:gridCol w:w="1137"/>
        <w:gridCol w:w="1562"/>
        <w:gridCol w:w="1805"/>
        <w:gridCol w:w="1373"/>
      </w:tblGrid>
      <w:tr w14:paraId="335A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tcPr>
          <w:p w14:paraId="54DBEEA6">
            <w:pPr>
              <w:pStyle w:val="29"/>
              <w:adjustRightInd w:val="0"/>
              <w:snapToGrid w:val="0"/>
              <w:spacing w:line="300" w:lineRule="auto"/>
              <w:rPr>
                <w:rFonts w:hint="default" w:eastAsia="仿宋_GB2312"/>
                <w:b/>
                <w:color w:val="auto"/>
                <w:szCs w:val="24"/>
              </w:rPr>
            </w:pPr>
            <w:r>
              <w:rPr>
                <w:rFonts w:eastAsia="仿宋_GB2312"/>
                <w:b/>
                <w:color w:val="auto"/>
                <w:szCs w:val="24"/>
              </w:rPr>
              <w:t>项目</w:t>
            </w:r>
          </w:p>
        </w:tc>
        <w:tc>
          <w:tcPr>
            <w:tcW w:w="642" w:type="pct"/>
          </w:tcPr>
          <w:p w14:paraId="79750E24">
            <w:pPr>
              <w:pStyle w:val="29"/>
              <w:adjustRightInd w:val="0"/>
              <w:snapToGrid w:val="0"/>
              <w:spacing w:line="300" w:lineRule="auto"/>
              <w:rPr>
                <w:rFonts w:hint="default" w:eastAsia="仿宋_GB2312"/>
                <w:b/>
                <w:color w:val="auto"/>
                <w:szCs w:val="24"/>
              </w:rPr>
            </w:pPr>
            <w:r>
              <w:rPr>
                <w:rFonts w:eastAsia="仿宋_GB2312"/>
                <w:b/>
                <w:color w:val="auto"/>
                <w:szCs w:val="24"/>
              </w:rPr>
              <w:t>预算数</w:t>
            </w:r>
          </w:p>
        </w:tc>
        <w:tc>
          <w:tcPr>
            <w:tcW w:w="642" w:type="pct"/>
          </w:tcPr>
          <w:p w14:paraId="6AD0EDB3">
            <w:pPr>
              <w:pStyle w:val="29"/>
              <w:adjustRightInd w:val="0"/>
              <w:snapToGrid w:val="0"/>
              <w:spacing w:line="300" w:lineRule="auto"/>
              <w:rPr>
                <w:rFonts w:hint="default" w:eastAsia="仿宋_GB2312"/>
                <w:b/>
                <w:color w:val="auto"/>
                <w:szCs w:val="24"/>
              </w:rPr>
            </w:pPr>
            <w:r>
              <w:rPr>
                <w:rFonts w:eastAsia="仿宋_GB2312"/>
                <w:b/>
                <w:color w:val="auto"/>
                <w:szCs w:val="24"/>
              </w:rPr>
              <w:t>决算数</w:t>
            </w:r>
          </w:p>
        </w:tc>
        <w:tc>
          <w:tcPr>
            <w:tcW w:w="882" w:type="pct"/>
          </w:tcPr>
          <w:p w14:paraId="5A889F8A">
            <w:pPr>
              <w:pStyle w:val="29"/>
              <w:adjustRightInd w:val="0"/>
              <w:snapToGrid w:val="0"/>
              <w:spacing w:line="300" w:lineRule="auto"/>
              <w:rPr>
                <w:rFonts w:hint="default" w:eastAsia="仿宋_GB2312"/>
                <w:b/>
                <w:color w:val="auto"/>
                <w:szCs w:val="24"/>
              </w:rPr>
            </w:pPr>
            <w:r>
              <w:rPr>
                <w:rFonts w:eastAsia="仿宋_GB2312"/>
                <w:b/>
                <w:color w:val="auto"/>
                <w:szCs w:val="24"/>
              </w:rPr>
              <w:t>预算执行率</w:t>
            </w:r>
          </w:p>
        </w:tc>
        <w:tc>
          <w:tcPr>
            <w:tcW w:w="1019" w:type="pct"/>
          </w:tcPr>
          <w:p w14:paraId="39F8A007">
            <w:pPr>
              <w:pStyle w:val="29"/>
              <w:adjustRightInd w:val="0"/>
              <w:snapToGrid w:val="0"/>
              <w:spacing w:line="300" w:lineRule="auto"/>
              <w:rPr>
                <w:rFonts w:hint="default" w:eastAsia="仿宋_GB2312"/>
                <w:b/>
                <w:color w:val="auto"/>
                <w:szCs w:val="24"/>
              </w:rPr>
            </w:pPr>
            <w:r>
              <w:rPr>
                <w:rFonts w:eastAsia="仿宋_GB2312"/>
                <w:b/>
                <w:color w:val="auto"/>
                <w:szCs w:val="24"/>
              </w:rPr>
              <w:t>上年度决算数</w:t>
            </w:r>
          </w:p>
        </w:tc>
        <w:tc>
          <w:tcPr>
            <w:tcW w:w="775" w:type="pct"/>
          </w:tcPr>
          <w:p w14:paraId="342FEE71">
            <w:pPr>
              <w:pStyle w:val="29"/>
              <w:adjustRightInd w:val="0"/>
              <w:snapToGrid w:val="0"/>
              <w:spacing w:line="300" w:lineRule="auto"/>
              <w:rPr>
                <w:rFonts w:hint="default" w:eastAsia="仿宋_GB2312"/>
                <w:b/>
                <w:color w:val="auto"/>
                <w:szCs w:val="24"/>
              </w:rPr>
            </w:pPr>
            <w:r>
              <w:rPr>
                <w:rFonts w:eastAsia="仿宋_GB2312"/>
                <w:b/>
                <w:color w:val="auto"/>
                <w:szCs w:val="24"/>
              </w:rPr>
              <w:t>变动率</w:t>
            </w:r>
          </w:p>
        </w:tc>
      </w:tr>
      <w:tr w14:paraId="7BA0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1040" w:type="pct"/>
          </w:tcPr>
          <w:p w14:paraId="2D76F2E5">
            <w:pPr>
              <w:pStyle w:val="29"/>
              <w:adjustRightInd w:val="0"/>
              <w:snapToGrid w:val="0"/>
              <w:spacing w:line="300" w:lineRule="auto"/>
              <w:rPr>
                <w:rFonts w:hint="default" w:eastAsia="仿宋_GB2312"/>
                <w:bCs/>
                <w:color w:val="auto"/>
                <w:szCs w:val="24"/>
              </w:rPr>
            </w:pPr>
            <w:r>
              <w:rPr>
                <w:rFonts w:eastAsia="仿宋_GB2312"/>
                <w:bCs/>
                <w:color w:val="auto"/>
                <w:szCs w:val="24"/>
              </w:rPr>
              <w:t>会议费</w:t>
            </w:r>
          </w:p>
        </w:tc>
        <w:tc>
          <w:tcPr>
            <w:tcW w:w="642" w:type="pct"/>
          </w:tcPr>
          <w:p w14:paraId="14CC977A">
            <w:pPr>
              <w:pStyle w:val="29"/>
              <w:snapToGrid w:val="0"/>
              <w:spacing w:line="300" w:lineRule="auto"/>
              <w:rPr>
                <w:rFonts w:hint="default" w:eastAsia="仿宋_GB2312"/>
                <w:color w:val="auto"/>
                <w:szCs w:val="24"/>
              </w:rPr>
            </w:pPr>
            <w:r>
              <w:rPr>
                <w:rFonts w:eastAsia="仿宋_GB2312"/>
                <w:color w:val="auto"/>
                <w:szCs w:val="24"/>
              </w:rPr>
              <w:t>3.00</w:t>
            </w:r>
          </w:p>
        </w:tc>
        <w:tc>
          <w:tcPr>
            <w:tcW w:w="642" w:type="pct"/>
          </w:tcPr>
          <w:p w14:paraId="6FC5DB7B">
            <w:pPr>
              <w:pStyle w:val="29"/>
              <w:snapToGrid w:val="0"/>
              <w:spacing w:line="300" w:lineRule="auto"/>
              <w:rPr>
                <w:rFonts w:hint="default" w:eastAsia="仿宋_GB2312"/>
                <w:color w:val="auto"/>
                <w:szCs w:val="24"/>
              </w:rPr>
            </w:pPr>
            <w:r>
              <w:rPr>
                <w:rFonts w:eastAsia="仿宋_GB2312"/>
                <w:color w:val="auto"/>
                <w:szCs w:val="24"/>
              </w:rPr>
              <w:t>0.57</w:t>
            </w:r>
          </w:p>
        </w:tc>
        <w:tc>
          <w:tcPr>
            <w:tcW w:w="882" w:type="pct"/>
          </w:tcPr>
          <w:p w14:paraId="68AFE07C">
            <w:pPr>
              <w:pStyle w:val="29"/>
              <w:snapToGrid w:val="0"/>
              <w:spacing w:line="300" w:lineRule="auto"/>
              <w:rPr>
                <w:rFonts w:hint="default" w:eastAsia="仿宋_GB2312"/>
                <w:color w:val="auto"/>
                <w:szCs w:val="24"/>
              </w:rPr>
            </w:pPr>
            <w:r>
              <w:rPr>
                <w:rFonts w:eastAsia="仿宋_GB2312"/>
                <w:color w:val="auto"/>
                <w:szCs w:val="24"/>
              </w:rPr>
              <w:t>19%</w:t>
            </w:r>
          </w:p>
        </w:tc>
        <w:tc>
          <w:tcPr>
            <w:tcW w:w="1019" w:type="pct"/>
          </w:tcPr>
          <w:p w14:paraId="5264F5FF">
            <w:pPr>
              <w:pStyle w:val="29"/>
              <w:snapToGrid w:val="0"/>
              <w:spacing w:line="300" w:lineRule="auto"/>
              <w:rPr>
                <w:rFonts w:hint="default" w:eastAsia="仿宋_GB2312"/>
                <w:color w:val="auto"/>
                <w:szCs w:val="24"/>
              </w:rPr>
            </w:pPr>
            <w:r>
              <w:rPr>
                <w:rFonts w:eastAsia="仿宋_GB2312"/>
                <w:color w:val="auto"/>
                <w:szCs w:val="24"/>
              </w:rPr>
              <w:t>1.28</w:t>
            </w:r>
          </w:p>
        </w:tc>
        <w:tc>
          <w:tcPr>
            <w:tcW w:w="775" w:type="pct"/>
          </w:tcPr>
          <w:p w14:paraId="0F4860CD">
            <w:pPr>
              <w:pStyle w:val="29"/>
              <w:snapToGrid w:val="0"/>
              <w:spacing w:line="300" w:lineRule="auto"/>
              <w:rPr>
                <w:rFonts w:hint="default" w:eastAsia="仿宋_GB2312"/>
                <w:color w:val="auto"/>
                <w:szCs w:val="24"/>
              </w:rPr>
            </w:pPr>
            <w:r>
              <w:rPr>
                <w:rFonts w:eastAsia="仿宋_GB2312"/>
                <w:color w:val="auto"/>
                <w:szCs w:val="24"/>
              </w:rPr>
              <w:t>-55.47%</w:t>
            </w:r>
          </w:p>
        </w:tc>
      </w:tr>
      <w:tr w14:paraId="02B8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1" w:hRule="exact"/>
        </w:trPr>
        <w:tc>
          <w:tcPr>
            <w:tcW w:w="1040" w:type="pct"/>
          </w:tcPr>
          <w:p w14:paraId="34621DE4">
            <w:pPr>
              <w:pStyle w:val="29"/>
              <w:adjustRightInd w:val="0"/>
              <w:snapToGrid w:val="0"/>
              <w:spacing w:line="300" w:lineRule="auto"/>
              <w:rPr>
                <w:rFonts w:hint="default" w:eastAsia="仿宋_GB2312"/>
                <w:bCs/>
                <w:color w:val="auto"/>
                <w:szCs w:val="24"/>
              </w:rPr>
            </w:pPr>
            <w:r>
              <w:rPr>
                <w:rFonts w:eastAsia="仿宋_GB2312"/>
                <w:bCs/>
                <w:color w:val="auto"/>
                <w:szCs w:val="24"/>
              </w:rPr>
              <w:t>培训费</w:t>
            </w:r>
          </w:p>
        </w:tc>
        <w:tc>
          <w:tcPr>
            <w:tcW w:w="642" w:type="pct"/>
            <w:vAlign w:val="center"/>
          </w:tcPr>
          <w:p w14:paraId="6570FEE2">
            <w:pPr>
              <w:pStyle w:val="29"/>
              <w:snapToGrid w:val="0"/>
              <w:spacing w:line="300" w:lineRule="auto"/>
              <w:rPr>
                <w:rFonts w:hint="default" w:eastAsia="仿宋_GB2312"/>
                <w:color w:val="auto"/>
                <w:szCs w:val="24"/>
              </w:rPr>
            </w:pPr>
            <w:r>
              <w:rPr>
                <w:rFonts w:hint="default" w:eastAsia="仿宋_GB2312"/>
                <w:color w:val="auto"/>
                <w:szCs w:val="24"/>
              </w:rPr>
              <w:t>9.50</w:t>
            </w:r>
          </w:p>
        </w:tc>
        <w:tc>
          <w:tcPr>
            <w:tcW w:w="642" w:type="pct"/>
            <w:vAlign w:val="center"/>
          </w:tcPr>
          <w:p w14:paraId="1FE229B1">
            <w:pPr>
              <w:pStyle w:val="29"/>
              <w:snapToGrid w:val="0"/>
              <w:spacing w:line="300" w:lineRule="auto"/>
              <w:rPr>
                <w:rFonts w:hint="default" w:eastAsia="仿宋_GB2312"/>
                <w:color w:val="auto"/>
                <w:szCs w:val="24"/>
              </w:rPr>
            </w:pPr>
            <w:r>
              <w:rPr>
                <w:rFonts w:eastAsia="仿宋_GB2312"/>
                <w:color w:val="auto"/>
                <w:szCs w:val="24"/>
              </w:rPr>
              <w:t>4.07</w:t>
            </w:r>
          </w:p>
        </w:tc>
        <w:tc>
          <w:tcPr>
            <w:tcW w:w="882" w:type="pct"/>
            <w:vAlign w:val="center"/>
          </w:tcPr>
          <w:p w14:paraId="060F1C0B">
            <w:pPr>
              <w:pStyle w:val="29"/>
              <w:snapToGrid w:val="0"/>
              <w:spacing w:line="300" w:lineRule="auto"/>
              <w:rPr>
                <w:rFonts w:hint="default" w:eastAsia="仿宋_GB2312"/>
                <w:color w:val="auto"/>
                <w:szCs w:val="24"/>
              </w:rPr>
            </w:pPr>
            <w:r>
              <w:rPr>
                <w:rFonts w:hint="default" w:eastAsia="仿宋_GB2312"/>
                <w:color w:val="auto"/>
                <w:szCs w:val="24"/>
              </w:rPr>
              <w:t>42.84</w:t>
            </w:r>
            <w:r>
              <w:rPr>
                <w:rFonts w:eastAsia="仿宋_GB2312"/>
                <w:color w:val="auto"/>
                <w:szCs w:val="24"/>
              </w:rPr>
              <w:t>%</w:t>
            </w:r>
          </w:p>
        </w:tc>
        <w:tc>
          <w:tcPr>
            <w:tcW w:w="1019" w:type="pct"/>
            <w:vAlign w:val="center"/>
          </w:tcPr>
          <w:p w14:paraId="1369EBD8">
            <w:pPr>
              <w:pStyle w:val="29"/>
              <w:snapToGrid w:val="0"/>
              <w:spacing w:line="300" w:lineRule="auto"/>
              <w:rPr>
                <w:rFonts w:hint="default" w:eastAsia="仿宋_GB2312"/>
                <w:color w:val="auto"/>
                <w:szCs w:val="24"/>
              </w:rPr>
            </w:pPr>
            <w:r>
              <w:rPr>
                <w:rFonts w:eastAsia="仿宋_GB2312"/>
                <w:color w:val="auto"/>
                <w:szCs w:val="24"/>
              </w:rPr>
              <w:t>7.40</w:t>
            </w:r>
          </w:p>
        </w:tc>
        <w:tc>
          <w:tcPr>
            <w:tcW w:w="775" w:type="pct"/>
            <w:vAlign w:val="center"/>
          </w:tcPr>
          <w:p w14:paraId="3632F03C">
            <w:pPr>
              <w:pStyle w:val="29"/>
              <w:snapToGrid w:val="0"/>
              <w:spacing w:line="300" w:lineRule="auto"/>
              <w:rPr>
                <w:rFonts w:hint="default" w:eastAsia="仿宋_GB2312"/>
                <w:color w:val="auto"/>
                <w:szCs w:val="24"/>
              </w:rPr>
            </w:pPr>
            <w:r>
              <w:rPr>
                <w:rFonts w:eastAsia="仿宋_GB2312"/>
                <w:color w:val="auto"/>
                <w:szCs w:val="24"/>
              </w:rPr>
              <w:t>-45.00%</w:t>
            </w:r>
          </w:p>
        </w:tc>
      </w:tr>
    </w:tbl>
    <w:p w14:paraId="6FFBCCBB">
      <w:pPr>
        <w:spacing w:line="590" w:lineRule="exact"/>
        <w:ind w:left="641" w:firstLine="0" w:firstLineChars="0"/>
        <w:rPr>
          <w:rFonts w:ascii="楷体_GB2312" w:eastAsia="楷体_GB2312"/>
        </w:rPr>
      </w:pPr>
      <w:bookmarkStart w:id="20" w:name="_Toc170467959"/>
      <w:r>
        <w:rPr>
          <w:rFonts w:hint="eastAsia" w:ascii="楷体_GB2312" w:eastAsia="楷体_GB2312"/>
        </w:rPr>
        <w:t>（三）部门绩效目标</w:t>
      </w:r>
      <w:bookmarkEnd w:id="20"/>
    </w:p>
    <w:p w14:paraId="539D8B2D">
      <w:pPr>
        <w:snapToGrid w:val="0"/>
        <w:spacing w:line="590" w:lineRule="exact"/>
        <w:ind w:firstLine="640"/>
        <w:outlineLvl w:val="2"/>
        <w:rPr>
          <w:rFonts w:eastAsia="仿宋_GB2312"/>
          <w:color w:val="auto"/>
          <w:szCs w:val="32"/>
        </w:rPr>
      </w:pPr>
      <w:r>
        <w:rPr>
          <w:rFonts w:hint="eastAsia" w:eastAsia="仿宋_GB2312"/>
          <w:color w:val="auto"/>
          <w:szCs w:val="32"/>
        </w:rPr>
        <w:t>1.中长期目标</w:t>
      </w:r>
    </w:p>
    <w:p w14:paraId="28E63B2B">
      <w:pPr>
        <w:spacing w:line="590" w:lineRule="exact"/>
        <w:ind w:firstLine="640"/>
        <w:rPr>
          <w:rFonts w:eastAsia="仿宋_GB2312"/>
          <w:color w:val="auto"/>
        </w:rPr>
      </w:pPr>
      <w:r>
        <w:rPr>
          <w:rFonts w:hint="eastAsia" w:eastAsia="仿宋_GB2312"/>
          <w:color w:val="auto"/>
        </w:rPr>
        <w:t>按照市委市政府对市供销社的工作要求，通过大力推进供销社基层组织、农村电商服务体系和农业社会化服务体系建设，不断提升供销合作社服务“三农”、服务乡村振兴的能力和水平，进一步拓展为农服务领域，打造农业社会化服务平台、城乡社区综合服务平台，成为服务农民生产生活的主力军和综合平台。基层组织体系建设目标：建设基层社10个、薄弱基层社改造5个、领办参办农民专业合作社40个、农村综合服务社提档升级15个、建设农业生产服务中心4个。农村电商体系建设目标：建成电商镇级服务站6个，覆盖率100%；村（社区）电商服务点47个，覆盖率50%，农村电商人才培训5000人次。</w:t>
      </w:r>
    </w:p>
    <w:p w14:paraId="2258E79F">
      <w:pPr>
        <w:snapToGrid w:val="0"/>
        <w:spacing w:line="590" w:lineRule="exact"/>
        <w:ind w:firstLine="640"/>
        <w:outlineLvl w:val="2"/>
        <w:rPr>
          <w:rFonts w:eastAsia="仿宋_GB2312"/>
          <w:color w:val="auto"/>
          <w:szCs w:val="32"/>
        </w:rPr>
      </w:pPr>
      <w:r>
        <w:rPr>
          <w:rFonts w:hint="eastAsia" w:eastAsia="仿宋_GB2312"/>
          <w:color w:val="auto"/>
          <w:szCs w:val="32"/>
        </w:rPr>
        <w:t>2.年度目标</w:t>
      </w:r>
    </w:p>
    <w:p w14:paraId="60BC0C0E">
      <w:pPr>
        <w:spacing w:line="590" w:lineRule="exact"/>
        <w:ind w:firstLine="640"/>
        <w:rPr>
          <w:rFonts w:eastAsia="仿宋_GB2312"/>
          <w:color w:val="auto"/>
        </w:rPr>
      </w:pPr>
      <w:r>
        <w:rPr>
          <w:rFonts w:hint="eastAsia" w:eastAsia="仿宋_GB2312"/>
          <w:color w:val="auto"/>
        </w:rPr>
        <w:t>2024年，按照市委市政府对市供销社的工作要求，结合部门“三定”方案中规定的职能以及年度工作计划和要点，市供销合作总社部门整体绩效目标如下：</w:t>
      </w:r>
    </w:p>
    <w:p w14:paraId="1FE981FA">
      <w:pPr>
        <w:spacing w:line="590" w:lineRule="exact"/>
        <w:ind w:firstLine="640"/>
        <w:rPr>
          <w:rFonts w:eastAsia="仿宋_GB2312"/>
          <w:color w:val="auto"/>
        </w:rPr>
      </w:pPr>
      <w:r>
        <w:rPr>
          <w:rFonts w:hint="eastAsia" w:eastAsia="仿宋_GB2312"/>
          <w:color w:val="auto"/>
        </w:rPr>
        <w:t>（1）农业农村综合服务建设方面。新建小型农业农村综合服务中心1个；</w:t>
      </w:r>
    </w:p>
    <w:p w14:paraId="37A639B5">
      <w:pPr>
        <w:spacing w:line="590" w:lineRule="exact"/>
        <w:ind w:firstLine="640"/>
        <w:rPr>
          <w:rFonts w:eastAsia="仿宋_GB2312"/>
          <w:color w:val="auto"/>
        </w:rPr>
      </w:pPr>
      <w:r>
        <w:rPr>
          <w:rFonts w:hint="eastAsia" w:eastAsia="仿宋_GB2312"/>
          <w:color w:val="auto"/>
        </w:rPr>
        <w:t>（2）供销合作社基层组织建设方面。改造提升基层社3个、领办参办专业合作社5个、提档升级农村综合服务社5个；</w:t>
      </w:r>
    </w:p>
    <w:p w14:paraId="32A03A76">
      <w:pPr>
        <w:spacing w:line="590" w:lineRule="exact"/>
        <w:ind w:firstLine="640"/>
        <w:rPr>
          <w:rFonts w:eastAsia="仿宋_GB2312"/>
          <w:color w:val="auto"/>
        </w:rPr>
      </w:pPr>
      <w:r>
        <w:rPr>
          <w:rFonts w:hint="eastAsia" w:eastAsia="仿宋_GB2312"/>
          <w:color w:val="auto"/>
        </w:rPr>
        <w:t>（3）农村现代流通建设方面。新建镇（街）级电商服务站1个、新建村级电商服务点14个、资金扶持农产品电商销售主体31个、改造物流配送中心冷藏库2个、组织或参加农产品展示展销活动7场次、开展“供销直播进百村”活动45场次，农产品销售额达270亿元，电商销售额达56亿元；</w:t>
      </w:r>
    </w:p>
    <w:p w14:paraId="5AF3BE3E">
      <w:pPr>
        <w:spacing w:line="590" w:lineRule="exact"/>
        <w:ind w:firstLine="640"/>
        <w:rPr>
          <w:rFonts w:eastAsia="仿宋_GB2312"/>
          <w:color w:val="auto"/>
        </w:rPr>
      </w:pPr>
      <w:r>
        <w:rPr>
          <w:rFonts w:hint="eastAsia" w:eastAsia="仿宋_GB2312"/>
          <w:color w:val="auto"/>
        </w:rPr>
        <w:t>（4）农业社会化服务方面。农业社会化服务面积达80万亩、三项环节（配方施肥、统防统治、农机作业）服务面积达120万亩次、零差率农药统一配供额达5000万元；</w:t>
      </w:r>
    </w:p>
    <w:p w14:paraId="0DFAB6BB">
      <w:pPr>
        <w:spacing w:line="590" w:lineRule="exact"/>
        <w:ind w:firstLine="640"/>
        <w:rPr>
          <w:rFonts w:eastAsia="仿宋_GB2312"/>
          <w:color w:val="auto"/>
        </w:rPr>
      </w:pPr>
      <w:r>
        <w:rPr>
          <w:rFonts w:hint="eastAsia" w:eastAsia="仿宋_GB2312"/>
          <w:color w:val="auto"/>
        </w:rPr>
        <w:t>（5）人才培训方面。培训农村电商人才1000人次、组织农民种植培训1000人次。</w:t>
      </w:r>
    </w:p>
    <w:p w14:paraId="16AFB1D2">
      <w:pPr>
        <w:pStyle w:val="3"/>
        <w:spacing w:beforeLines="0" w:line="590" w:lineRule="exact"/>
        <w:ind w:firstLine="640"/>
        <w:rPr>
          <w:rFonts w:ascii="Times New Roman" w:hAnsi="Times New Roman" w:eastAsia="黑体" w:cs="黑体"/>
          <w:b w:val="0"/>
          <w:color w:val="auto"/>
        </w:rPr>
      </w:pPr>
      <w:bookmarkStart w:id="21" w:name="_Toc170467964"/>
      <w:r>
        <w:rPr>
          <w:rFonts w:hint="eastAsia" w:ascii="Times New Roman" w:hAnsi="Times New Roman" w:eastAsia="黑体" w:cs="黑体"/>
          <w:b w:val="0"/>
          <w:color w:val="auto"/>
        </w:rPr>
        <w:t>二、绩效评价结论</w:t>
      </w:r>
      <w:bookmarkEnd w:id="21"/>
    </w:p>
    <w:p w14:paraId="3C6CA9F5">
      <w:pPr>
        <w:spacing w:line="590" w:lineRule="exact"/>
        <w:ind w:firstLine="640"/>
        <w:rPr>
          <w:rFonts w:eastAsia="楷体_GB2312" w:cs="楷体_GB2312"/>
          <w:bCs/>
          <w:szCs w:val="32"/>
          <w:shd w:val="clear" w:color="auto" w:fill="FFFFFF"/>
        </w:rPr>
      </w:pPr>
      <w:r>
        <w:rPr>
          <w:rFonts w:hint="eastAsia" w:eastAsia="楷体_GB2312" w:cs="楷体_GB2312"/>
          <w:bCs/>
          <w:szCs w:val="32"/>
          <w:shd w:val="clear" w:color="auto" w:fill="FFFFFF"/>
        </w:rPr>
        <w:t>（一）评价对象和范围</w:t>
      </w:r>
    </w:p>
    <w:p w14:paraId="5C5BE776">
      <w:pPr>
        <w:spacing w:line="590" w:lineRule="exact"/>
        <w:ind w:firstLine="640"/>
        <w:rPr>
          <w:rFonts w:eastAsia="仿宋_GB2312"/>
          <w:color w:val="auto"/>
        </w:rPr>
      </w:pPr>
      <w:r>
        <w:rPr>
          <w:rFonts w:hint="eastAsia" w:eastAsia="仿宋_GB2312"/>
          <w:color w:val="auto"/>
        </w:rPr>
        <w:t>本次绩效评价的对象为南京市供销合作总社部门整体绩效情况，评价时间范围是</w:t>
      </w:r>
      <w:r>
        <w:rPr>
          <w:rFonts w:hint="eastAsia" w:eastAsia="仿宋_GB2312"/>
          <w:color w:val="auto"/>
          <w:szCs w:val="32"/>
        </w:rPr>
        <w:t>2024</w:t>
      </w:r>
      <w:r>
        <w:rPr>
          <w:rFonts w:hint="eastAsia" w:eastAsia="仿宋_GB2312"/>
          <w:color w:val="auto"/>
        </w:rPr>
        <w:t>年</w:t>
      </w:r>
      <w:r>
        <w:rPr>
          <w:rFonts w:hint="eastAsia" w:eastAsia="仿宋_GB2312"/>
          <w:color w:val="auto"/>
          <w:szCs w:val="32"/>
        </w:rPr>
        <w:t>1</w:t>
      </w:r>
      <w:r>
        <w:rPr>
          <w:rFonts w:hint="eastAsia" w:eastAsia="仿宋_GB2312"/>
          <w:color w:val="auto"/>
        </w:rPr>
        <w:t>月</w:t>
      </w:r>
      <w:r>
        <w:rPr>
          <w:rFonts w:hint="eastAsia" w:eastAsia="仿宋_GB2312"/>
          <w:color w:val="auto"/>
          <w:szCs w:val="32"/>
        </w:rPr>
        <w:t>1</w:t>
      </w:r>
      <w:r>
        <w:rPr>
          <w:rFonts w:hint="eastAsia" w:eastAsia="仿宋_GB2312"/>
          <w:color w:val="auto"/>
        </w:rPr>
        <w:t>日至</w:t>
      </w:r>
      <w:r>
        <w:rPr>
          <w:rFonts w:hint="eastAsia" w:eastAsia="仿宋_GB2312"/>
          <w:color w:val="auto"/>
          <w:szCs w:val="32"/>
        </w:rPr>
        <w:t>2024</w:t>
      </w:r>
      <w:r>
        <w:rPr>
          <w:rFonts w:hint="eastAsia" w:eastAsia="仿宋_GB2312"/>
          <w:color w:val="auto"/>
        </w:rPr>
        <w:t>年</w:t>
      </w:r>
      <w:r>
        <w:rPr>
          <w:rFonts w:hint="eastAsia" w:eastAsia="仿宋_GB2312"/>
          <w:color w:val="auto"/>
          <w:szCs w:val="32"/>
        </w:rPr>
        <w:t>12</w:t>
      </w:r>
      <w:r>
        <w:rPr>
          <w:rFonts w:hint="eastAsia" w:eastAsia="仿宋_GB2312"/>
          <w:color w:val="auto"/>
        </w:rPr>
        <w:t>月</w:t>
      </w:r>
      <w:r>
        <w:rPr>
          <w:rFonts w:hint="eastAsia" w:eastAsia="仿宋_GB2312"/>
          <w:color w:val="auto"/>
          <w:szCs w:val="32"/>
        </w:rPr>
        <w:t>31</w:t>
      </w:r>
      <w:r>
        <w:rPr>
          <w:rFonts w:hint="eastAsia" w:eastAsia="仿宋_GB2312"/>
          <w:color w:val="auto"/>
        </w:rPr>
        <w:t>日。</w:t>
      </w:r>
    </w:p>
    <w:p w14:paraId="14C07A16">
      <w:pPr>
        <w:spacing w:line="590" w:lineRule="exact"/>
        <w:ind w:firstLine="640"/>
        <w:rPr>
          <w:rFonts w:eastAsia="楷体_GB2312" w:cs="楷体_GB2312"/>
          <w:bCs/>
          <w:szCs w:val="32"/>
          <w:shd w:val="clear" w:color="auto" w:fill="FFFFFF"/>
        </w:rPr>
      </w:pPr>
      <w:r>
        <w:rPr>
          <w:rFonts w:hint="eastAsia" w:eastAsia="楷体_GB2312" w:cs="楷体_GB2312"/>
          <w:bCs/>
          <w:szCs w:val="32"/>
          <w:shd w:val="clear" w:color="auto" w:fill="FFFFFF"/>
        </w:rPr>
        <w:t>（二）评价方式</w:t>
      </w:r>
    </w:p>
    <w:p w14:paraId="6152B4D3">
      <w:pPr>
        <w:spacing w:line="590" w:lineRule="exact"/>
        <w:ind w:firstLine="640"/>
        <w:rPr>
          <w:rFonts w:eastAsia="仿宋_GB2312"/>
          <w:szCs w:val="32"/>
          <w:shd w:val="clear" w:color="auto" w:fill="FFFFFF"/>
        </w:rPr>
      </w:pPr>
      <w:r>
        <w:rPr>
          <w:rFonts w:hint="eastAsia" w:eastAsia="仿宋_GB2312"/>
          <w:szCs w:val="32"/>
          <w:shd w:val="clear" w:color="auto" w:fill="FFFFFF"/>
        </w:rPr>
        <w:t>采</w:t>
      </w:r>
      <w:r>
        <w:rPr>
          <w:rFonts w:eastAsia="仿宋_GB2312"/>
          <w:szCs w:val="32"/>
          <w:shd w:val="clear" w:color="auto" w:fill="FFFFFF"/>
        </w:rPr>
        <w:t>取评分和评级相结合的方式。</w:t>
      </w:r>
      <w:r>
        <w:rPr>
          <w:rFonts w:hint="eastAsia" w:eastAsia="仿宋_GB2312"/>
          <w:szCs w:val="32"/>
          <w:shd w:val="clear" w:color="auto" w:fill="FFFFFF"/>
        </w:rPr>
        <w:t>各</w:t>
      </w:r>
      <w:r>
        <w:rPr>
          <w:rFonts w:eastAsia="仿宋_GB2312"/>
          <w:szCs w:val="32"/>
          <w:shd w:val="clear" w:color="auto" w:fill="FFFFFF"/>
        </w:rPr>
        <w:t>项评价指标按其重要性</w:t>
      </w:r>
      <w:r>
        <w:rPr>
          <w:rFonts w:hint="eastAsia" w:eastAsia="仿宋_GB2312"/>
          <w:szCs w:val="32"/>
          <w:shd w:val="clear" w:color="auto" w:fill="FFFFFF"/>
        </w:rPr>
        <w:t>程度</w:t>
      </w:r>
      <w:r>
        <w:rPr>
          <w:rFonts w:eastAsia="仿宋_GB2312"/>
          <w:szCs w:val="32"/>
          <w:shd w:val="clear" w:color="auto" w:fill="FFFFFF"/>
        </w:rPr>
        <w:t>设定分值（权重），总分设为</w:t>
      </w:r>
      <w:r>
        <w:rPr>
          <w:rFonts w:hint="eastAsia" w:eastAsia="仿宋_GB2312"/>
          <w:szCs w:val="32"/>
          <w:shd w:val="clear" w:color="auto" w:fill="FFFFFF"/>
        </w:rPr>
        <w:t>100分</w:t>
      </w:r>
      <w:r>
        <w:rPr>
          <w:rFonts w:eastAsia="仿宋_GB2312"/>
          <w:szCs w:val="32"/>
          <w:shd w:val="clear" w:color="auto" w:fill="FFFFFF"/>
        </w:rPr>
        <w:t>，等级划为四档：</w:t>
      </w:r>
      <w:r>
        <w:rPr>
          <w:rFonts w:hint="eastAsia" w:eastAsia="仿宋_GB2312"/>
          <w:szCs w:val="32"/>
          <w:shd w:val="clear" w:color="auto" w:fill="FFFFFF"/>
        </w:rPr>
        <w:t>90（</w:t>
      </w:r>
      <w:r>
        <w:rPr>
          <w:rFonts w:eastAsia="仿宋_GB2312"/>
          <w:szCs w:val="32"/>
          <w:shd w:val="clear" w:color="auto" w:fill="FFFFFF"/>
        </w:rPr>
        <w:t>含）</w:t>
      </w:r>
      <w:r>
        <w:rPr>
          <w:rFonts w:hint="eastAsia" w:eastAsia="仿宋_GB2312"/>
          <w:szCs w:val="32"/>
          <w:shd w:val="clear" w:color="auto" w:fill="FFFFFF"/>
        </w:rPr>
        <w:t>-100分</w:t>
      </w:r>
      <w:r>
        <w:rPr>
          <w:rFonts w:eastAsia="仿宋_GB2312"/>
          <w:szCs w:val="32"/>
          <w:shd w:val="clear" w:color="auto" w:fill="FFFFFF"/>
        </w:rPr>
        <w:t>为“</w:t>
      </w:r>
      <w:r>
        <w:rPr>
          <w:rFonts w:hint="eastAsia" w:eastAsia="仿宋_GB2312"/>
          <w:szCs w:val="32"/>
          <w:shd w:val="clear" w:color="auto" w:fill="FFFFFF"/>
        </w:rPr>
        <w:t>优</w:t>
      </w:r>
      <w:r>
        <w:rPr>
          <w:rFonts w:eastAsia="仿宋_GB2312"/>
          <w:szCs w:val="32"/>
          <w:shd w:val="clear" w:color="auto" w:fill="FFFFFF"/>
        </w:rPr>
        <w:t>”</w:t>
      </w:r>
      <w:r>
        <w:rPr>
          <w:rFonts w:hint="eastAsia" w:eastAsia="仿宋_GB2312"/>
          <w:szCs w:val="32"/>
          <w:shd w:val="clear" w:color="auto" w:fill="FFFFFF"/>
        </w:rPr>
        <w:t>；80（</w:t>
      </w:r>
      <w:r>
        <w:rPr>
          <w:rFonts w:eastAsia="仿宋_GB2312"/>
          <w:szCs w:val="32"/>
          <w:shd w:val="clear" w:color="auto" w:fill="FFFFFF"/>
        </w:rPr>
        <w:t>含）</w:t>
      </w:r>
      <w:r>
        <w:rPr>
          <w:rFonts w:hint="eastAsia" w:eastAsia="仿宋_GB2312"/>
          <w:szCs w:val="32"/>
          <w:shd w:val="clear" w:color="auto" w:fill="FFFFFF"/>
        </w:rPr>
        <w:t>-90分</w:t>
      </w:r>
      <w:r>
        <w:rPr>
          <w:rFonts w:eastAsia="仿宋_GB2312"/>
          <w:szCs w:val="32"/>
          <w:shd w:val="clear" w:color="auto" w:fill="FFFFFF"/>
        </w:rPr>
        <w:t>为“</w:t>
      </w:r>
      <w:r>
        <w:rPr>
          <w:rFonts w:hint="eastAsia" w:eastAsia="仿宋_GB2312"/>
          <w:szCs w:val="32"/>
          <w:shd w:val="clear" w:color="auto" w:fill="FFFFFF"/>
        </w:rPr>
        <w:t>良</w:t>
      </w:r>
      <w:r>
        <w:rPr>
          <w:rFonts w:eastAsia="仿宋_GB2312"/>
          <w:szCs w:val="32"/>
          <w:shd w:val="clear" w:color="auto" w:fill="FFFFFF"/>
        </w:rPr>
        <w:t>”</w:t>
      </w:r>
      <w:r>
        <w:rPr>
          <w:rFonts w:hint="eastAsia" w:eastAsia="仿宋_GB2312"/>
          <w:szCs w:val="32"/>
          <w:shd w:val="clear" w:color="auto" w:fill="FFFFFF"/>
        </w:rPr>
        <w:t>；60（</w:t>
      </w:r>
      <w:r>
        <w:rPr>
          <w:rFonts w:eastAsia="仿宋_GB2312"/>
          <w:szCs w:val="32"/>
          <w:shd w:val="clear" w:color="auto" w:fill="FFFFFF"/>
        </w:rPr>
        <w:t>含）</w:t>
      </w:r>
      <w:r>
        <w:rPr>
          <w:rFonts w:hint="eastAsia" w:eastAsia="仿宋_GB2312"/>
          <w:szCs w:val="32"/>
          <w:shd w:val="clear" w:color="auto" w:fill="FFFFFF"/>
        </w:rPr>
        <w:t>-80分</w:t>
      </w:r>
      <w:r>
        <w:rPr>
          <w:rFonts w:eastAsia="仿宋_GB2312"/>
          <w:szCs w:val="32"/>
          <w:shd w:val="clear" w:color="auto" w:fill="FFFFFF"/>
        </w:rPr>
        <w:t>为“</w:t>
      </w:r>
      <w:r>
        <w:rPr>
          <w:rFonts w:hint="eastAsia" w:eastAsia="仿宋_GB2312"/>
          <w:szCs w:val="32"/>
          <w:shd w:val="clear" w:color="auto" w:fill="FFFFFF"/>
        </w:rPr>
        <w:t>中</w:t>
      </w:r>
      <w:r>
        <w:rPr>
          <w:rFonts w:eastAsia="仿宋_GB2312"/>
          <w:szCs w:val="32"/>
          <w:shd w:val="clear" w:color="auto" w:fill="FFFFFF"/>
        </w:rPr>
        <w:t>”</w:t>
      </w:r>
      <w:r>
        <w:rPr>
          <w:rFonts w:hint="eastAsia" w:eastAsia="仿宋_GB2312"/>
          <w:szCs w:val="32"/>
          <w:shd w:val="clear" w:color="auto" w:fill="FFFFFF"/>
        </w:rPr>
        <w:t>；60分</w:t>
      </w:r>
      <w:r>
        <w:rPr>
          <w:rFonts w:eastAsia="仿宋_GB2312"/>
          <w:szCs w:val="32"/>
          <w:shd w:val="clear" w:color="auto" w:fill="FFFFFF"/>
        </w:rPr>
        <w:t>以下为“</w:t>
      </w:r>
      <w:r>
        <w:rPr>
          <w:rFonts w:hint="eastAsia" w:eastAsia="仿宋_GB2312"/>
          <w:szCs w:val="32"/>
          <w:shd w:val="clear" w:color="auto" w:fill="FFFFFF"/>
        </w:rPr>
        <w:t>差</w:t>
      </w:r>
      <w:r>
        <w:rPr>
          <w:rFonts w:eastAsia="仿宋_GB2312"/>
          <w:szCs w:val="32"/>
          <w:shd w:val="clear" w:color="auto" w:fill="FFFFFF"/>
        </w:rPr>
        <w:t>”</w:t>
      </w:r>
      <w:r>
        <w:rPr>
          <w:rFonts w:hint="eastAsia" w:eastAsia="仿宋_GB2312"/>
          <w:szCs w:val="32"/>
          <w:shd w:val="clear" w:color="auto" w:fill="FFFFFF"/>
        </w:rPr>
        <w:t>。</w:t>
      </w:r>
    </w:p>
    <w:p w14:paraId="5D2CF848">
      <w:pPr>
        <w:spacing w:line="590" w:lineRule="exact"/>
        <w:ind w:firstLine="640"/>
        <w:rPr>
          <w:rFonts w:eastAsia="楷体_GB2312" w:cs="楷体_GB2312"/>
          <w:bCs/>
          <w:szCs w:val="32"/>
          <w:shd w:val="clear" w:color="auto" w:fill="FFFFFF"/>
        </w:rPr>
      </w:pPr>
      <w:r>
        <w:rPr>
          <w:rFonts w:hint="eastAsia" w:eastAsia="楷体_GB2312" w:cs="楷体_GB2312"/>
          <w:bCs/>
          <w:szCs w:val="32"/>
          <w:shd w:val="clear" w:color="auto" w:fill="FFFFFF"/>
        </w:rPr>
        <w:t>（三）评价结论</w:t>
      </w:r>
    </w:p>
    <w:p w14:paraId="3075358A">
      <w:pPr>
        <w:spacing w:line="590" w:lineRule="exact"/>
        <w:ind w:firstLine="640"/>
        <w:rPr>
          <w:rFonts w:eastAsia="仿宋_GB2312"/>
          <w:color w:val="auto"/>
        </w:rPr>
      </w:pPr>
      <w:r>
        <w:rPr>
          <w:rFonts w:hint="eastAsia" w:eastAsia="仿宋_GB2312"/>
          <w:szCs w:val="32"/>
          <w:shd w:val="clear" w:color="auto" w:fill="FFFFFF"/>
        </w:rPr>
        <w:t>本次绩效评价遵循科学规范、公平公正、绩效相关、重点核查的原则，对部门决策、部门管理、部门履职、履职绩效、满意度等内容进行分析，制定评价标准和评分规则。经审核评定，2024年度部门整体绩效评价得分94.</w:t>
      </w:r>
      <w:r>
        <w:rPr>
          <w:rFonts w:hint="eastAsia" w:eastAsia="仿宋_GB2312"/>
          <w:szCs w:val="32"/>
          <w:shd w:val="clear" w:color="auto" w:fill="FFFFFF"/>
          <w:lang w:val="en-US" w:eastAsia="zh-CN"/>
        </w:rPr>
        <w:t>414</w:t>
      </w:r>
      <w:r>
        <w:rPr>
          <w:rFonts w:hint="eastAsia" w:eastAsia="仿宋_GB2312"/>
          <w:szCs w:val="32"/>
          <w:shd w:val="clear" w:color="auto" w:fill="FFFFFF"/>
        </w:rPr>
        <w:t>分，等级为“优”，评分见下表（具体见附件）：</w:t>
      </w:r>
    </w:p>
    <w:tbl>
      <w:tblPr>
        <w:tblStyle w:val="22"/>
        <w:tblW w:w="8670"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1080"/>
        <w:gridCol w:w="1110"/>
        <w:gridCol w:w="1260"/>
        <w:gridCol w:w="1215"/>
        <w:gridCol w:w="1020"/>
        <w:gridCol w:w="960"/>
        <w:gridCol w:w="930"/>
      </w:tblGrid>
      <w:tr w14:paraId="77ED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exact"/>
        </w:trPr>
        <w:tc>
          <w:tcPr>
            <w:tcW w:w="1095" w:type="dxa"/>
            <w:vAlign w:val="center"/>
          </w:tcPr>
          <w:p w14:paraId="4B8EC84E">
            <w:pPr>
              <w:pStyle w:val="29"/>
              <w:snapToGrid w:val="0"/>
              <w:spacing w:line="300" w:lineRule="auto"/>
              <w:rPr>
                <w:rFonts w:hint="default" w:eastAsia="仿宋_GB2312"/>
                <w:b/>
                <w:color w:val="auto"/>
                <w:szCs w:val="24"/>
              </w:rPr>
            </w:pPr>
            <w:bookmarkStart w:id="22" w:name="_Hlk169944221"/>
            <w:r>
              <w:rPr>
                <w:rFonts w:eastAsia="仿宋_GB2312"/>
                <w:b/>
                <w:color w:val="auto"/>
                <w:szCs w:val="24"/>
              </w:rPr>
              <w:t>指标名称</w:t>
            </w:r>
          </w:p>
        </w:tc>
        <w:tc>
          <w:tcPr>
            <w:tcW w:w="1080" w:type="dxa"/>
            <w:vAlign w:val="center"/>
          </w:tcPr>
          <w:p w14:paraId="0113AFBA">
            <w:pPr>
              <w:pStyle w:val="29"/>
              <w:snapToGrid w:val="0"/>
              <w:spacing w:line="300" w:lineRule="auto"/>
              <w:rPr>
                <w:rFonts w:hint="default" w:eastAsia="仿宋_GB2312"/>
                <w:b/>
                <w:color w:val="auto"/>
                <w:szCs w:val="24"/>
              </w:rPr>
            </w:pPr>
            <w:r>
              <w:rPr>
                <w:rFonts w:eastAsia="仿宋_GB2312"/>
                <w:b/>
                <w:color w:val="auto"/>
                <w:szCs w:val="24"/>
              </w:rPr>
              <w:t>部门决策</w:t>
            </w:r>
          </w:p>
        </w:tc>
        <w:tc>
          <w:tcPr>
            <w:tcW w:w="1110" w:type="dxa"/>
            <w:vAlign w:val="center"/>
          </w:tcPr>
          <w:p w14:paraId="2A4B7F55">
            <w:pPr>
              <w:pStyle w:val="29"/>
              <w:snapToGrid w:val="0"/>
              <w:spacing w:line="300" w:lineRule="auto"/>
              <w:rPr>
                <w:rFonts w:hint="default" w:eastAsia="仿宋_GB2312"/>
                <w:b/>
                <w:color w:val="auto"/>
                <w:szCs w:val="24"/>
              </w:rPr>
            </w:pPr>
            <w:r>
              <w:rPr>
                <w:rFonts w:eastAsia="仿宋_GB2312"/>
                <w:b/>
                <w:color w:val="auto"/>
                <w:szCs w:val="24"/>
              </w:rPr>
              <w:t>部门管理</w:t>
            </w:r>
          </w:p>
        </w:tc>
        <w:tc>
          <w:tcPr>
            <w:tcW w:w="1260" w:type="dxa"/>
            <w:vAlign w:val="center"/>
          </w:tcPr>
          <w:p w14:paraId="057963DB">
            <w:pPr>
              <w:pStyle w:val="29"/>
              <w:snapToGrid w:val="0"/>
              <w:spacing w:line="300" w:lineRule="auto"/>
              <w:rPr>
                <w:rFonts w:hint="default" w:eastAsia="仿宋_GB2312"/>
                <w:b/>
                <w:color w:val="auto"/>
                <w:szCs w:val="24"/>
              </w:rPr>
            </w:pPr>
            <w:r>
              <w:rPr>
                <w:rFonts w:eastAsia="仿宋_GB2312"/>
                <w:b/>
                <w:color w:val="auto"/>
                <w:szCs w:val="24"/>
              </w:rPr>
              <w:t>部门履职</w:t>
            </w:r>
          </w:p>
        </w:tc>
        <w:tc>
          <w:tcPr>
            <w:tcW w:w="1215" w:type="dxa"/>
            <w:vAlign w:val="center"/>
          </w:tcPr>
          <w:p w14:paraId="096C2B17">
            <w:pPr>
              <w:pStyle w:val="29"/>
              <w:snapToGrid w:val="0"/>
              <w:spacing w:line="300" w:lineRule="auto"/>
              <w:rPr>
                <w:rFonts w:hint="default" w:eastAsia="仿宋_GB2312"/>
                <w:b/>
                <w:color w:val="auto"/>
                <w:szCs w:val="24"/>
              </w:rPr>
            </w:pPr>
            <w:r>
              <w:rPr>
                <w:rFonts w:eastAsia="仿宋_GB2312"/>
                <w:b/>
                <w:color w:val="auto"/>
                <w:szCs w:val="24"/>
              </w:rPr>
              <w:t>履职效果</w:t>
            </w:r>
          </w:p>
        </w:tc>
        <w:tc>
          <w:tcPr>
            <w:tcW w:w="1020" w:type="dxa"/>
            <w:vAlign w:val="center"/>
          </w:tcPr>
          <w:p w14:paraId="2D31D03F">
            <w:pPr>
              <w:pStyle w:val="29"/>
              <w:snapToGrid w:val="0"/>
              <w:spacing w:line="300" w:lineRule="auto"/>
              <w:rPr>
                <w:rFonts w:hint="default" w:eastAsia="仿宋_GB2312"/>
                <w:b/>
                <w:color w:val="auto"/>
                <w:szCs w:val="24"/>
              </w:rPr>
            </w:pPr>
            <w:r>
              <w:rPr>
                <w:rFonts w:eastAsia="仿宋_GB2312"/>
                <w:b/>
                <w:color w:val="auto"/>
                <w:szCs w:val="24"/>
              </w:rPr>
              <w:t>满意度</w:t>
            </w:r>
          </w:p>
        </w:tc>
        <w:tc>
          <w:tcPr>
            <w:tcW w:w="960" w:type="dxa"/>
            <w:vAlign w:val="center"/>
          </w:tcPr>
          <w:p w14:paraId="6C021C37">
            <w:pPr>
              <w:pStyle w:val="29"/>
              <w:snapToGrid w:val="0"/>
              <w:spacing w:line="300" w:lineRule="auto"/>
              <w:rPr>
                <w:rFonts w:hint="default" w:eastAsia="仿宋_GB2312"/>
                <w:b/>
                <w:color w:val="auto"/>
                <w:szCs w:val="24"/>
              </w:rPr>
            </w:pPr>
            <w:r>
              <w:rPr>
                <w:rFonts w:eastAsia="仿宋_GB2312"/>
                <w:b/>
                <w:color w:val="auto"/>
                <w:szCs w:val="24"/>
              </w:rPr>
              <w:t>加减分项</w:t>
            </w:r>
          </w:p>
        </w:tc>
        <w:tc>
          <w:tcPr>
            <w:tcW w:w="930" w:type="dxa"/>
            <w:vAlign w:val="center"/>
          </w:tcPr>
          <w:p w14:paraId="5F296362">
            <w:pPr>
              <w:pStyle w:val="29"/>
              <w:snapToGrid w:val="0"/>
              <w:spacing w:line="300" w:lineRule="auto"/>
              <w:rPr>
                <w:rFonts w:hint="default" w:eastAsia="仿宋_GB2312"/>
                <w:b/>
                <w:color w:val="auto"/>
                <w:szCs w:val="24"/>
              </w:rPr>
            </w:pPr>
            <w:r>
              <w:rPr>
                <w:rFonts w:eastAsia="仿宋_GB2312"/>
                <w:b/>
                <w:color w:val="auto"/>
                <w:szCs w:val="24"/>
              </w:rPr>
              <w:t>合计</w:t>
            </w:r>
          </w:p>
        </w:tc>
      </w:tr>
      <w:tr w14:paraId="4CBB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 w:hRule="exact"/>
        </w:trPr>
        <w:tc>
          <w:tcPr>
            <w:tcW w:w="1095" w:type="dxa"/>
            <w:vAlign w:val="center"/>
          </w:tcPr>
          <w:p w14:paraId="5F05CEFA">
            <w:pPr>
              <w:pStyle w:val="29"/>
              <w:snapToGrid w:val="0"/>
              <w:spacing w:line="300" w:lineRule="auto"/>
              <w:rPr>
                <w:rFonts w:hint="default" w:eastAsia="仿宋_GB2312"/>
                <w:bCs/>
                <w:color w:val="auto"/>
                <w:szCs w:val="24"/>
              </w:rPr>
            </w:pPr>
            <w:r>
              <w:rPr>
                <w:rFonts w:eastAsia="仿宋_GB2312"/>
                <w:bCs/>
                <w:color w:val="auto"/>
                <w:szCs w:val="24"/>
              </w:rPr>
              <w:t>权重</w:t>
            </w:r>
          </w:p>
        </w:tc>
        <w:tc>
          <w:tcPr>
            <w:tcW w:w="1080" w:type="dxa"/>
            <w:vAlign w:val="center"/>
          </w:tcPr>
          <w:p w14:paraId="749B1ED5">
            <w:pPr>
              <w:pStyle w:val="29"/>
              <w:snapToGrid w:val="0"/>
              <w:spacing w:line="300" w:lineRule="auto"/>
              <w:rPr>
                <w:rFonts w:hint="default" w:eastAsia="仿宋_GB2312"/>
                <w:color w:val="auto"/>
                <w:szCs w:val="24"/>
              </w:rPr>
            </w:pPr>
            <w:r>
              <w:rPr>
                <w:rFonts w:eastAsia="仿宋_GB2312"/>
                <w:color w:val="auto"/>
                <w:szCs w:val="24"/>
              </w:rPr>
              <w:t>6.00</w:t>
            </w:r>
          </w:p>
        </w:tc>
        <w:tc>
          <w:tcPr>
            <w:tcW w:w="1110" w:type="dxa"/>
            <w:vAlign w:val="center"/>
          </w:tcPr>
          <w:p w14:paraId="5A399E2F">
            <w:pPr>
              <w:pStyle w:val="29"/>
              <w:snapToGrid w:val="0"/>
              <w:spacing w:line="300" w:lineRule="auto"/>
              <w:rPr>
                <w:rFonts w:hint="default" w:eastAsia="仿宋_GB2312"/>
                <w:color w:val="auto"/>
                <w:szCs w:val="24"/>
              </w:rPr>
            </w:pPr>
            <w:r>
              <w:rPr>
                <w:rFonts w:eastAsia="仿宋_GB2312"/>
                <w:color w:val="auto"/>
                <w:szCs w:val="24"/>
              </w:rPr>
              <w:t>2</w:t>
            </w:r>
            <w:r>
              <w:rPr>
                <w:rFonts w:hint="eastAsia" w:eastAsia="仿宋_GB2312"/>
                <w:color w:val="auto"/>
                <w:szCs w:val="24"/>
                <w:lang w:val="en-US" w:eastAsia="zh-CN"/>
              </w:rPr>
              <w:t>8</w:t>
            </w:r>
            <w:r>
              <w:rPr>
                <w:rFonts w:eastAsia="仿宋_GB2312"/>
                <w:color w:val="auto"/>
                <w:szCs w:val="24"/>
              </w:rPr>
              <w:t>.00</w:t>
            </w:r>
          </w:p>
        </w:tc>
        <w:tc>
          <w:tcPr>
            <w:tcW w:w="1260" w:type="dxa"/>
            <w:vAlign w:val="center"/>
          </w:tcPr>
          <w:p w14:paraId="7CA08CB4">
            <w:pPr>
              <w:pStyle w:val="29"/>
              <w:snapToGrid w:val="0"/>
              <w:spacing w:line="300" w:lineRule="auto"/>
              <w:rPr>
                <w:rFonts w:hint="default" w:eastAsia="仿宋_GB2312"/>
                <w:color w:val="auto"/>
                <w:szCs w:val="24"/>
              </w:rPr>
            </w:pPr>
            <w:r>
              <w:rPr>
                <w:rFonts w:eastAsia="仿宋_GB2312"/>
                <w:color w:val="auto"/>
                <w:szCs w:val="24"/>
              </w:rPr>
              <w:t>3</w:t>
            </w:r>
            <w:r>
              <w:rPr>
                <w:rFonts w:hint="eastAsia" w:eastAsia="仿宋_GB2312"/>
                <w:color w:val="auto"/>
                <w:szCs w:val="24"/>
                <w:lang w:val="en-US" w:eastAsia="zh-CN"/>
              </w:rPr>
              <w:t>7</w:t>
            </w:r>
            <w:r>
              <w:rPr>
                <w:rFonts w:eastAsia="仿宋_GB2312"/>
                <w:color w:val="auto"/>
                <w:szCs w:val="24"/>
              </w:rPr>
              <w:t>.00</w:t>
            </w:r>
          </w:p>
        </w:tc>
        <w:tc>
          <w:tcPr>
            <w:tcW w:w="1215" w:type="dxa"/>
            <w:vAlign w:val="center"/>
          </w:tcPr>
          <w:p w14:paraId="70AB353E">
            <w:pPr>
              <w:pStyle w:val="29"/>
              <w:snapToGrid w:val="0"/>
              <w:spacing w:line="300" w:lineRule="auto"/>
              <w:rPr>
                <w:rFonts w:hint="default" w:eastAsia="仿宋_GB2312"/>
                <w:color w:val="auto"/>
                <w:szCs w:val="24"/>
              </w:rPr>
            </w:pPr>
            <w:r>
              <w:rPr>
                <w:rFonts w:hint="eastAsia" w:eastAsia="仿宋_GB2312"/>
                <w:color w:val="auto"/>
                <w:szCs w:val="24"/>
                <w:lang w:val="en-US" w:eastAsia="zh-CN"/>
              </w:rPr>
              <w:t>19</w:t>
            </w:r>
            <w:r>
              <w:rPr>
                <w:rFonts w:eastAsia="仿宋_GB2312"/>
                <w:color w:val="auto"/>
                <w:szCs w:val="24"/>
              </w:rPr>
              <w:t>.00</w:t>
            </w:r>
          </w:p>
        </w:tc>
        <w:tc>
          <w:tcPr>
            <w:tcW w:w="1020" w:type="dxa"/>
            <w:vAlign w:val="center"/>
          </w:tcPr>
          <w:p w14:paraId="4D1A23A4">
            <w:pPr>
              <w:pStyle w:val="29"/>
              <w:snapToGrid w:val="0"/>
              <w:spacing w:line="300" w:lineRule="auto"/>
              <w:rPr>
                <w:rFonts w:hint="default" w:eastAsia="仿宋_GB2312"/>
                <w:color w:val="auto"/>
                <w:szCs w:val="24"/>
              </w:rPr>
            </w:pPr>
            <w:r>
              <w:rPr>
                <w:rFonts w:eastAsia="仿宋_GB2312"/>
                <w:color w:val="auto"/>
                <w:szCs w:val="24"/>
              </w:rPr>
              <w:t>10.00</w:t>
            </w:r>
          </w:p>
        </w:tc>
        <w:tc>
          <w:tcPr>
            <w:tcW w:w="960" w:type="dxa"/>
            <w:vAlign w:val="center"/>
          </w:tcPr>
          <w:p w14:paraId="16994158">
            <w:pPr>
              <w:pStyle w:val="29"/>
              <w:snapToGrid w:val="0"/>
              <w:spacing w:line="300" w:lineRule="auto"/>
              <w:rPr>
                <w:rFonts w:hint="default" w:eastAsia="仿宋_GB2312"/>
                <w:color w:val="auto"/>
                <w:szCs w:val="24"/>
              </w:rPr>
            </w:pPr>
            <w:r>
              <w:rPr>
                <w:rFonts w:eastAsia="仿宋_GB2312"/>
                <w:color w:val="auto"/>
                <w:szCs w:val="24"/>
              </w:rPr>
              <w:t>0</w:t>
            </w:r>
          </w:p>
        </w:tc>
        <w:tc>
          <w:tcPr>
            <w:tcW w:w="930" w:type="dxa"/>
            <w:vAlign w:val="center"/>
          </w:tcPr>
          <w:p w14:paraId="4387A161">
            <w:pPr>
              <w:pStyle w:val="29"/>
              <w:snapToGrid w:val="0"/>
              <w:spacing w:line="300" w:lineRule="auto"/>
              <w:rPr>
                <w:rFonts w:hint="default" w:eastAsia="仿宋_GB2312"/>
                <w:color w:val="auto"/>
                <w:szCs w:val="24"/>
              </w:rPr>
            </w:pPr>
            <w:r>
              <w:rPr>
                <w:rFonts w:eastAsia="仿宋_GB2312"/>
                <w:color w:val="auto"/>
                <w:szCs w:val="24"/>
              </w:rPr>
              <w:t>100</w:t>
            </w:r>
          </w:p>
        </w:tc>
      </w:tr>
      <w:bookmarkEnd w:id="22"/>
      <w:tr w14:paraId="63085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1" w:hRule="exact"/>
        </w:trPr>
        <w:tc>
          <w:tcPr>
            <w:tcW w:w="1095" w:type="dxa"/>
            <w:vAlign w:val="center"/>
          </w:tcPr>
          <w:p w14:paraId="221C766C">
            <w:pPr>
              <w:pStyle w:val="29"/>
              <w:snapToGrid w:val="0"/>
              <w:spacing w:line="300" w:lineRule="auto"/>
              <w:rPr>
                <w:rFonts w:hint="default" w:eastAsia="仿宋_GB2312"/>
                <w:bCs/>
                <w:color w:val="auto"/>
                <w:szCs w:val="24"/>
              </w:rPr>
            </w:pPr>
            <w:r>
              <w:rPr>
                <w:rFonts w:eastAsia="仿宋_GB2312"/>
                <w:bCs/>
                <w:color w:val="auto"/>
                <w:szCs w:val="24"/>
              </w:rPr>
              <w:t>得分</w:t>
            </w:r>
          </w:p>
        </w:tc>
        <w:tc>
          <w:tcPr>
            <w:tcW w:w="1080" w:type="dxa"/>
            <w:vAlign w:val="center"/>
          </w:tcPr>
          <w:p w14:paraId="2324BEBB">
            <w:pPr>
              <w:pStyle w:val="29"/>
              <w:snapToGrid w:val="0"/>
              <w:spacing w:line="300" w:lineRule="auto"/>
              <w:jc w:val="center"/>
              <w:rPr>
                <w:rFonts w:hint="default" w:eastAsia="仿宋_GB2312"/>
                <w:color w:val="auto"/>
                <w:szCs w:val="24"/>
              </w:rPr>
            </w:pPr>
            <w:r>
              <w:rPr>
                <w:rFonts w:eastAsia="仿宋_GB2312"/>
                <w:color w:val="auto"/>
                <w:szCs w:val="24"/>
              </w:rPr>
              <w:t>6.00</w:t>
            </w:r>
          </w:p>
        </w:tc>
        <w:tc>
          <w:tcPr>
            <w:tcW w:w="1110" w:type="dxa"/>
            <w:vAlign w:val="center"/>
          </w:tcPr>
          <w:p w14:paraId="45FFE5BD">
            <w:pPr>
              <w:pStyle w:val="29"/>
              <w:snapToGrid w:val="0"/>
              <w:spacing w:line="300" w:lineRule="auto"/>
              <w:jc w:val="center"/>
              <w:rPr>
                <w:rFonts w:hint="default" w:eastAsia="仿宋_GB2312"/>
                <w:color w:val="auto"/>
                <w:szCs w:val="24"/>
              </w:rPr>
            </w:pPr>
            <w:r>
              <w:rPr>
                <w:rFonts w:hint="eastAsia" w:eastAsia="仿宋_GB2312"/>
                <w:color w:val="auto"/>
                <w:szCs w:val="24"/>
                <w:lang w:val="en-US" w:eastAsia="zh-CN"/>
              </w:rPr>
              <w:t>26</w:t>
            </w:r>
            <w:r>
              <w:rPr>
                <w:rFonts w:eastAsia="仿宋_GB2312"/>
                <w:color w:val="auto"/>
                <w:szCs w:val="24"/>
              </w:rPr>
              <w:t>.09</w:t>
            </w:r>
          </w:p>
        </w:tc>
        <w:tc>
          <w:tcPr>
            <w:tcW w:w="1260" w:type="dxa"/>
            <w:shd w:val="clear" w:color="auto" w:fill="auto"/>
            <w:vAlign w:val="center"/>
          </w:tcPr>
          <w:p w14:paraId="2D48303A">
            <w:pPr>
              <w:widowControl/>
              <w:spacing w:before="0" w:beforeLines="25" w:beforeAutospacing="0"/>
              <w:ind w:firstLine="0" w:firstLineChars="0"/>
              <w:jc w:val="center"/>
              <w:textAlignment w:val="center"/>
              <w:rPr>
                <w:rFonts w:hint="default" w:eastAsia="仿宋_GB2312"/>
                <w:color w:val="auto"/>
                <w:sz w:val="24"/>
                <w:szCs w:val="24"/>
                <w:lang w:val="en-US" w:eastAsia="zh-CN"/>
              </w:rPr>
            </w:pPr>
            <w:r>
              <w:rPr>
                <w:rFonts w:hint="eastAsia" w:eastAsia="仿宋_GB2312"/>
                <w:color w:val="auto"/>
                <w:sz w:val="24"/>
                <w:szCs w:val="24"/>
              </w:rPr>
              <w:t>3</w:t>
            </w:r>
            <w:r>
              <w:rPr>
                <w:rFonts w:hint="eastAsia" w:eastAsia="仿宋_GB2312"/>
                <w:color w:val="auto"/>
                <w:sz w:val="24"/>
                <w:szCs w:val="24"/>
                <w:lang w:val="en-US" w:eastAsia="zh-CN"/>
              </w:rPr>
              <w:t>3.224</w:t>
            </w:r>
          </w:p>
        </w:tc>
        <w:tc>
          <w:tcPr>
            <w:tcW w:w="1215" w:type="dxa"/>
            <w:vAlign w:val="center"/>
          </w:tcPr>
          <w:p w14:paraId="7534F493">
            <w:pPr>
              <w:pStyle w:val="29"/>
              <w:snapToGrid w:val="0"/>
              <w:spacing w:line="300" w:lineRule="auto"/>
              <w:jc w:val="center"/>
              <w:rPr>
                <w:rFonts w:hint="default" w:eastAsia="仿宋_GB2312"/>
                <w:color w:val="auto"/>
                <w:szCs w:val="24"/>
                <w:lang w:val="en-US" w:eastAsia="zh-CN"/>
              </w:rPr>
            </w:pPr>
            <w:r>
              <w:rPr>
                <w:rFonts w:eastAsia="仿宋_GB2312"/>
                <w:color w:val="auto"/>
                <w:szCs w:val="24"/>
              </w:rPr>
              <w:t>1</w:t>
            </w:r>
            <w:r>
              <w:rPr>
                <w:rFonts w:hint="eastAsia" w:eastAsia="仿宋_GB2312"/>
                <w:color w:val="auto"/>
                <w:szCs w:val="24"/>
                <w:lang w:val="en-US" w:eastAsia="zh-CN"/>
              </w:rPr>
              <w:t>8.20</w:t>
            </w:r>
          </w:p>
        </w:tc>
        <w:tc>
          <w:tcPr>
            <w:tcW w:w="1020" w:type="dxa"/>
            <w:vAlign w:val="center"/>
          </w:tcPr>
          <w:p w14:paraId="2E431841">
            <w:pPr>
              <w:pStyle w:val="29"/>
              <w:snapToGrid w:val="0"/>
              <w:spacing w:line="300" w:lineRule="auto"/>
              <w:jc w:val="center"/>
              <w:rPr>
                <w:rFonts w:hint="default" w:eastAsia="仿宋_GB2312"/>
                <w:color w:val="auto"/>
                <w:szCs w:val="24"/>
              </w:rPr>
            </w:pPr>
            <w:r>
              <w:rPr>
                <w:rFonts w:eastAsia="仿宋_GB2312"/>
                <w:color w:val="auto"/>
                <w:szCs w:val="24"/>
              </w:rPr>
              <w:t>9.90</w:t>
            </w:r>
          </w:p>
        </w:tc>
        <w:tc>
          <w:tcPr>
            <w:tcW w:w="960" w:type="dxa"/>
            <w:vAlign w:val="center"/>
          </w:tcPr>
          <w:p w14:paraId="6716CEE1">
            <w:pPr>
              <w:pStyle w:val="29"/>
              <w:snapToGrid w:val="0"/>
              <w:spacing w:line="300" w:lineRule="auto"/>
              <w:jc w:val="center"/>
              <w:rPr>
                <w:rFonts w:hint="default" w:eastAsia="仿宋_GB2312"/>
                <w:color w:val="auto"/>
                <w:szCs w:val="24"/>
              </w:rPr>
            </w:pPr>
            <w:r>
              <w:rPr>
                <w:rFonts w:eastAsia="仿宋_GB2312"/>
                <w:color w:val="auto"/>
                <w:szCs w:val="24"/>
              </w:rPr>
              <w:t>0</w:t>
            </w:r>
          </w:p>
        </w:tc>
        <w:tc>
          <w:tcPr>
            <w:tcW w:w="930" w:type="dxa"/>
            <w:vAlign w:val="center"/>
          </w:tcPr>
          <w:p w14:paraId="34FDDF72">
            <w:pPr>
              <w:pStyle w:val="29"/>
              <w:snapToGrid w:val="0"/>
              <w:spacing w:line="300" w:lineRule="auto"/>
              <w:jc w:val="center"/>
              <w:rPr>
                <w:rFonts w:hint="default" w:eastAsia="仿宋_GB2312"/>
                <w:color w:val="auto"/>
                <w:szCs w:val="24"/>
                <w:lang w:val="en-US" w:eastAsia="zh-CN"/>
              </w:rPr>
            </w:pPr>
            <w:r>
              <w:rPr>
                <w:rFonts w:eastAsia="仿宋_GB2312"/>
                <w:color w:val="auto"/>
                <w:szCs w:val="24"/>
              </w:rPr>
              <w:t>94.</w:t>
            </w:r>
            <w:r>
              <w:rPr>
                <w:rFonts w:hint="eastAsia" w:eastAsia="仿宋_GB2312"/>
                <w:color w:val="auto"/>
                <w:szCs w:val="24"/>
                <w:lang w:val="en-US" w:eastAsia="zh-CN"/>
              </w:rPr>
              <w:t>414</w:t>
            </w:r>
          </w:p>
        </w:tc>
      </w:tr>
    </w:tbl>
    <w:p w14:paraId="134D34B3">
      <w:pPr>
        <w:pStyle w:val="2"/>
        <w:keepNext w:val="0"/>
        <w:keepLines w:val="0"/>
        <w:spacing w:line="590" w:lineRule="exact"/>
        <w:ind w:firstLine="640"/>
        <w:jc w:val="left"/>
        <w:rPr>
          <w:rFonts w:eastAsia="方正黑体_GBK"/>
          <w:b w:val="0"/>
          <w:color w:val="auto"/>
          <w:szCs w:val="48"/>
        </w:rPr>
      </w:pPr>
      <w:bookmarkStart w:id="23" w:name="_Toc170467965"/>
      <w:r>
        <w:rPr>
          <w:rFonts w:hint="eastAsia" w:eastAsia="方正黑体_GBK"/>
          <w:b w:val="0"/>
          <w:color w:val="auto"/>
          <w:szCs w:val="48"/>
        </w:rPr>
        <w:t>三、部门履职成效</w:t>
      </w:r>
      <w:bookmarkEnd w:id="23"/>
    </w:p>
    <w:p w14:paraId="3170C66C">
      <w:pPr>
        <w:spacing w:line="590" w:lineRule="exact"/>
        <w:ind w:firstLine="640"/>
        <w:rPr>
          <w:rFonts w:eastAsia="仿宋_GB2312"/>
          <w:color w:val="auto"/>
        </w:rPr>
      </w:pPr>
      <w:r>
        <w:rPr>
          <w:rFonts w:hint="eastAsia" w:eastAsia="仿宋_GB2312"/>
          <w:color w:val="auto"/>
        </w:rPr>
        <w:t>2024年，南京市供销合作总社</w:t>
      </w:r>
      <w:r>
        <w:rPr>
          <w:rFonts w:hint="eastAsia" w:eastAsia="仿宋_GB2312"/>
          <w:szCs w:val="32"/>
        </w:rPr>
        <w:t>大力开展“为农服务靶向发力年”行动，以农产品上行和农资下行为工作主线，保持定力，锐意进取，</w:t>
      </w:r>
      <w:r>
        <w:rPr>
          <w:rFonts w:hint="eastAsia" w:eastAsia="仿宋_GB2312"/>
          <w:kern w:val="2"/>
          <w:szCs w:val="32"/>
        </w:rPr>
        <w:t>各项工作取得明显成效。全系统实现销售总额422亿元，增长5.01%；其中实现农产品销售321亿元，增长4.09%；农产品电子商务销售54亿元，增长2.12%；农资销售9.2亿元，增长47.09%。</w:t>
      </w:r>
      <w:r>
        <w:rPr>
          <w:rFonts w:hint="eastAsia" w:eastAsia="仿宋_GB2312"/>
          <w:color w:val="auto"/>
        </w:rPr>
        <w:t>市供销社连续五年获全国</w:t>
      </w:r>
      <w:r>
        <w:rPr>
          <w:rFonts w:hint="eastAsia" w:ascii="仿宋_GB2312" w:eastAsia="仿宋_GB2312"/>
          <w:szCs w:val="32"/>
        </w:rPr>
        <w:t>供销社系统</w:t>
      </w:r>
      <w:r>
        <w:rPr>
          <w:rFonts w:hint="eastAsia" w:eastAsia="仿宋_GB2312"/>
          <w:color w:val="auto"/>
        </w:rPr>
        <w:t>综合业绩考核优胜单位一等奖。</w:t>
      </w:r>
    </w:p>
    <w:p w14:paraId="6159B8CA">
      <w:pPr>
        <w:spacing w:line="59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（一）</w:t>
      </w:r>
      <w:r>
        <w:rPr>
          <w:rFonts w:hint="eastAsia" w:ascii="楷体_GB2312" w:hAnsi="楷体_GB2312" w:eastAsia="楷体_GB2312" w:cs="楷体_GB2312"/>
          <w:kern w:val="2"/>
          <w:szCs w:val="32"/>
        </w:rPr>
        <w:t>以政治建设为统领，</w:t>
      </w:r>
      <w:r>
        <w:rPr>
          <w:rFonts w:hint="eastAsia" w:ascii="楷体_GB2312" w:hAnsi="楷体_GB2312" w:eastAsia="楷体_GB2312" w:cs="楷体_GB2312"/>
          <w:szCs w:val="32"/>
        </w:rPr>
        <w:t>凝心铸魂，以巡促治，全面从严治党取得了新成效</w:t>
      </w:r>
    </w:p>
    <w:p w14:paraId="5C8F7083">
      <w:pPr>
        <w:spacing w:line="590" w:lineRule="exact"/>
        <w:ind w:firstLine="640"/>
        <w:rPr>
          <w:rFonts w:eastAsia="楷体_GB2312" w:cs="楷体_GB2312"/>
          <w:color w:val="auto"/>
        </w:rPr>
      </w:pPr>
      <w:r>
        <w:rPr>
          <w:rFonts w:hint="eastAsia" w:ascii="仿宋" w:hAnsi="仿宋" w:eastAsia="仿宋_GB2312"/>
          <w:kern w:val="2"/>
          <w:szCs w:val="32"/>
        </w:rPr>
        <w:t>坚持不懈用习近平新时代中国特色社会主义思想武装头脑，坚持“第一议题”制度，及时跟进学习习近平总书记最新重要讲话，认真学习贯彻习近平总书记在中华全国供销合作总社成立70周年之际作出的重要指示精神，扎实开展贯彻落实党的二十届三中全会精神专题学习。推动巡察整改走深走实。</w:t>
      </w:r>
      <w:r>
        <w:rPr>
          <w:rFonts w:hint="eastAsia" w:eastAsia="仿宋_GB2312"/>
          <w:color w:val="auto"/>
        </w:rPr>
        <w:t>针对市委巡察反馈的4方面30个问题，制定100条整改措施，出台《市社党组议事决策规则》等28项制度，审计指出的</w:t>
      </w:r>
      <w:r>
        <w:rPr>
          <w:rFonts w:hint="eastAsia" w:ascii="仿宋" w:hAnsi="仿宋"/>
          <w:szCs w:val="32"/>
        </w:rPr>
        <w:t>21</w:t>
      </w:r>
      <w:r>
        <w:rPr>
          <w:rFonts w:hint="eastAsia" w:ascii="仿宋_GB2312" w:hAnsi="仿宋" w:eastAsia="仿宋_GB2312"/>
          <w:szCs w:val="32"/>
        </w:rPr>
        <w:t>个问题，</w:t>
      </w:r>
      <w:r>
        <w:rPr>
          <w:rFonts w:hint="eastAsia" w:ascii="仿宋" w:hAnsi="仿宋"/>
          <w:szCs w:val="32"/>
        </w:rPr>
        <w:t>20</w:t>
      </w:r>
      <w:r>
        <w:rPr>
          <w:rFonts w:hint="eastAsia" w:ascii="仿宋_GB2312" w:hAnsi="仿宋" w:eastAsia="仿宋_GB2312"/>
          <w:szCs w:val="32"/>
        </w:rPr>
        <w:t>个完成整改</w:t>
      </w:r>
      <w:r>
        <w:rPr>
          <w:rFonts w:hint="eastAsia" w:eastAsia="仿宋_GB2312"/>
          <w:color w:val="auto"/>
        </w:rPr>
        <w:t>。开展党纪学习教育，交流研讨3轮260人次，组织纪律党课17场。</w:t>
      </w:r>
    </w:p>
    <w:p w14:paraId="5EADA4C0">
      <w:pPr>
        <w:spacing w:line="590" w:lineRule="exact"/>
        <w:ind w:firstLine="640"/>
        <w:rPr>
          <w:rFonts w:ascii="楷体_GB2312" w:hAnsi="楷体_GB2312" w:eastAsia="楷体_GB2312" w:cs="楷体_GB2312"/>
          <w:color w:val="auto"/>
        </w:rPr>
      </w:pPr>
      <w:r>
        <w:rPr>
          <w:rFonts w:hint="eastAsia" w:eastAsia="楷体_GB2312" w:cs="楷体_GB2312"/>
          <w:color w:val="auto"/>
        </w:rPr>
        <w:t>（二）</w:t>
      </w:r>
      <w:r>
        <w:rPr>
          <w:rFonts w:hint="eastAsia" w:ascii="楷体_GB2312" w:hAnsi="楷体_GB2312" w:eastAsia="楷体_GB2312" w:cs="楷体_GB2312"/>
          <w:kern w:val="2"/>
          <w:szCs w:val="32"/>
        </w:rPr>
        <w:t>以农资经营服务网络为依托，强网延链，提质扩面，农业社会化服务拓展了新领域</w:t>
      </w:r>
    </w:p>
    <w:p w14:paraId="1F44976D">
      <w:pPr>
        <w:spacing w:line="590" w:lineRule="exact"/>
        <w:ind w:firstLine="640"/>
        <w:rPr>
          <w:rFonts w:eastAsia="仿宋_GB2312"/>
          <w:color w:val="auto"/>
        </w:rPr>
      </w:pPr>
      <w:r>
        <w:rPr>
          <w:rFonts w:hint="eastAsia" w:eastAsia="仿宋_GB2312"/>
          <w:color w:val="auto"/>
        </w:rPr>
        <w:t>健全农资保供体系，161个零差率农药网点覆盖97%涉农街镇，配供高效低毒农药5400万元（占比98%）。延伸服务链，承接政府采购项目，供应肥药、农具等近1000万元，回收农药包装1000万件、地膜500吨。创新社会化服务模式，“金陵为农服务社”等入选省级品牌，溧水区发展订单农业5000亩。全系统农业服务面积达101万亩（占全市耕地49%），“三项”环节服务超150万亩次。推动农资应急储备机制落地，出台《市级化肥农药应急储备管理办法》，</w:t>
      </w:r>
      <w:r>
        <w:rPr>
          <w:rFonts w:hint="eastAsia" w:ascii="仿宋_GB2312" w:hAnsi="仿宋_GB2312" w:eastAsia="仿宋_GB2312" w:cs="仿宋_GB2312"/>
          <w:szCs w:val="32"/>
        </w:rPr>
        <w:t>为2025年度市级化肥农药应急储备工作开展打牢了基础。</w:t>
      </w:r>
    </w:p>
    <w:p w14:paraId="1EB9AC1E">
      <w:pPr>
        <w:spacing w:line="590" w:lineRule="exact"/>
        <w:ind w:firstLine="640"/>
        <w:rPr>
          <w:rFonts w:eastAsia="楷体_GB2312" w:cs="楷体_GB2312"/>
          <w:color w:val="auto"/>
        </w:rPr>
      </w:pPr>
      <w:r>
        <w:rPr>
          <w:rFonts w:hint="eastAsia" w:eastAsia="楷体_GB2312" w:cs="楷体_GB2312"/>
          <w:color w:val="auto"/>
        </w:rPr>
        <w:t>（三）</w:t>
      </w:r>
      <w:r>
        <w:rPr>
          <w:rFonts w:hint="eastAsia" w:ascii="楷体_GB2312" w:hAnsi="楷体_GB2312" w:eastAsia="楷体_GB2312" w:cs="楷体_GB2312"/>
          <w:kern w:val="2"/>
          <w:szCs w:val="32"/>
        </w:rPr>
        <w:t>以农产品上行为主线，抢抓机遇，主动作为，城乡流通服务打开了新局面</w:t>
      </w:r>
    </w:p>
    <w:p w14:paraId="306190F1">
      <w:pPr>
        <w:spacing w:line="590" w:lineRule="exact"/>
        <w:ind w:firstLine="640"/>
        <w:rPr>
          <w:rFonts w:eastAsia="仿宋_GB2312"/>
          <w:color w:val="auto"/>
        </w:rPr>
      </w:pPr>
      <w:r>
        <w:rPr>
          <w:rFonts w:hint="eastAsia" w:eastAsia="仿宋_GB2312"/>
          <w:color w:val="auto"/>
        </w:rPr>
        <w:t>打通农产品上行新路径。大宗食材集采统配取得突破，巩固江宁校区配送2300万元，推动全市多区落地统配模式，联合省社设立市级运营平台，中标市属中小学食材集采统配业务。“南京供销大集”等农产品推介活动共举办40场次，联动苏皖9市销售超330万元。溧水</w:t>
      </w:r>
      <w:r>
        <w:rPr>
          <w:rFonts w:hint="eastAsia" w:eastAsia="仿宋_GB2312" w:cs="仿宋_GB2312"/>
          <w:szCs w:val="32"/>
        </w:rPr>
        <w:t>打造“交邮快供+”供销自营点，</w:t>
      </w:r>
      <w:r>
        <w:rPr>
          <w:rFonts w:hint="eastAsia" w:eastAsia="仿宋_GB2312"/>
          <w:color w:val="auto"/>
        </w:rPr>
        <w:t>推行“五不出村”服务，高淳建成11个供邮网点，</w:t>
      </w:r>
      <w:r>
        <w:rPr>
          <w:rFonts w:hint="eastAsia" w:eastAsia="仿宋_GB2312" w:cs="仿宋_GB2312"/>
          <w:szCs w:val="32"/>
        </w:rPr>
        <w:t>打造</w:t>
      </w:r>
      <w:r>
        <w:rPr>
          <w:rFonts w:hint="eastAsia" w:eastAsia="仿宋_GB2312" w:cs="仿宋_GB2312"/>
          <w:szCs w:val="32"/>
          <w:lang w:val="zh-CN"/>
        </w:rPr>
        <w:t>农村寄递物流</w:t>
      </w:r>
      <w:r>
        <w:rPr>
          <w:rFonts w:hint="eastAsia" w:eastAsia="仿宋_GB2312" w:cs="仿宋_GB2312"/>
          <w:szCs w:val="32"/>
        </w:rPr>
        <w:t>服务新</w:t>
      </w:r>
      <w:r>
        <w:rPr>
          <w:rFonts w:hint="eastAsia" w:eastAsia="仿宋_GB2312" w:cs="仿宋_GB2312"/>
          <w:szCs w:val="32"/>
          <w:lang w:val="zh-CN"/>
        </w:rPr>
        <w:t>体系，</w:t>
      </w:r>
      <w:r>
        <w:rPr>
          <w:rFonts w:hint="eastAsia" w:eastAsia="仿宋_GB2312"/>
          <w:color w:val="auto"/>
        </w:rPr>
        <w:t>六合</w:t>
      </w:r>
      <w:r>
        <w:rPr>
          <w:rFonts w:hint="eastAsia" w:eastAsia="仿宋_GB2312" w:cs="仿宋_GB2312"/>
          <w:szCs w:val="32"/>
        </w:rPr>
        <w:t>推进“供销直通车”，</w:t>
      </w:r>
      <w:r>
        <w:rPr>
          <w:rFonts w:hint="eastAsia" w:eastAsia="仿宋_GB2312"/>
          <w:color w:val="auto"/>
        </w:rPr>
        <w:t>实现生鲜一日达，“交邮快供”模式</w:t>
      </w:r>
      <w:r>
        <w:rPr>
          <w:rFonts w:hint="eastAsia" w:eastAsia="仿宋_GB2312" w:cs="仿宋_GB2312"/>
          <w:szCs w:val="32"/>
        </w:rPr>
        <w:t>在省内外多地推广</w:t>
      </w:r>
      <w:r>
        <w:rPr>
          <w:rFonts w:hint="eastAsia" w:eastAsia="仿宋_GB2312"/>
          <w:color w:val="auto"/>
        </w:rPr>
        <w:t>，获央视等央媒广泛报道。品牌建设成效显著，“固城湖螃蟹”地铁专列曝光1300万人次，</w:t>
      </w:r>
      <w:r>
        <w:rPr>
          <w:rFonts w:hint="eastAsia" w:ascii="仿宋_GB2312" w:hAnsi="仿宋_GB2312" w:eastAsia="仿宋_GB2312" w:cs="仿宋_GB2312"/>
          <w:szCs w:val="32"/>
        </w:rPr>
        <w:t>“善田江宁”供销集市近30场次，</w:t>
      </w:r>
      <w:r>
        <w:rPr>
          <w:rFonts w:hint="eastAsia" w:eastAsia="仿宋_GB2312"/>
          <w:color w:val="auto"/>
        </w:rPr>
        <w:t>“无想田园”年销16.8亿元，各区打造了特色品牌矩阵。新建电商站点14个，开展“供销直播进百村”40余场，助力农产品上行。</w:t>
      </w:r>
    </w:p>
    <w:p w14:paraId="31AC98CE">
      <w:pPr>
        <w:spacing w:line="590" w:lineRule="exact"/>
        <w:ind w:firstLine="640"/>
        <w:rPr>
          <w:rFonts w:eastAsia="楷体_GB2312" w:cs="楷体_GB2312"/>
          <w:color w:val="auto"/>
        </w:rPr>
      </w:pPr>
      <w:r>
        <w:rPr>
          <w:rFonts w:hint="eastAsia" w:eastAsia="楷体_GB2312" w:cs="楷体_GB2312"/>
          <w:color w:val="auto"/>
        </w:rPr>
        <w:t>（四）</w:t>
      </w:r>
      <w:r>
        <w:rPr>
          <w:rFonts w:hint="eastAsia" w:ascii="楷体_GB2312" w:hAnsi="楷体_GB2312" w:eastAsia="楷体_GB2312" w:cs="楷体_GB2312"/>
          <w:kern w:val="2"/>
          <w:szCs w:val="32"/>
        </w:rPr>
        <w:t>以密切与农民利益联结为核心，固强补弱，精准施策，基层组织建设开拓了新路径</w:t>
      </w:r>
    </w:p>
    <w:p w14:paraId="41F59859">
      <w:pPr>
        <w:spacing w:line="590" w:lineRule="exact"/>
        <w:ind w:firstLine="640"/>
        <w:rPr>
          <w:rFonts w:eastAsia="仿宋_GB2312"/>
          <w:color w:val="auto"/>
        </w:rPr>
      </w:pPr>
      <w:r>
        <w:rPr>
          <w:rFonts w:hint="eastAsia" w:eastAsia="仿宋_GB2312"/>
          <w:szCs w:val="32"/>
        </w:rPr>
        <w:t>争取省级财政扶持资金4</w:t>
      </w:r>
      <w:r>
        <w:rPr>
          <w:rFonts w:eastAsia="仿宋_GB2312"/>
          <w:szCs w:val="32"/>
        </w:rPr>
        <w:t>40</w:t>
      </w:r>
      <w:r>
        <w:rPr>
          <w:rFonts w:hint="eastAsia" w:eastAsia="仿宋_GB2312"/>
          <w:szCs w:val="32"/>
        </w:rPr>
        <w:t>万元，下拨市级财政扶持资金8</w:t>
      </w:r>
      <w:r>
        <w:rPr>
          <w:rFonts w:eastAsia="仿宋_GB2312"/>
          <w:szCs w:val="32"/>
        </w:rPr>
        <w:t>3</w:t>
      </w:r>
      <w:r>
        <w:rPr>
          <w:rFonts w:hint="eastAsia" w:eastAsia="仿宋_GB2312"/>
          <w:szCs w:val="32"/>
        </w:rPr>
        <w:t>3万元，</w:t>
      </w:r>
      <w:r>
        <w:rPr>
          <w:rFonts w:hint="eastAsia" w:eastAsia="仿宋_GB2312"/>
          <w:color w:val="auto"/>
        </w:rPr>
        <w:t>扶持92个基层项目，破解“南强北弱”困境。在空白街镇新建3家基层社、3个综合服务社，新增农民社员7381人（总数达3.97万）。打造为农服务样板，</w:t>
      </w:r>
      <w:r>
        <w:rPr>
          <w:rFonts w:hint="eastAsia" w:ascii="仿宋_GB2312" w:hAnsi="仿宋" w:eastAsia="仿宋_GB2312" w:cs="华文仿宋"/>
          <w:szCs w:val="32"/>
        </w:rPr>
        <w:t>江宁区谷里供销社种植专业合作社</w:t>
      </w:r>
      <w:r>
        <w:rPr>
          <w:rFonts w:hint="eastAsia" w:eastAsia="仿宋_GB2312"/>
          <w:color w:val="auto"/>
        </w:rPr>
        <w:t>托管510亩复垦地种粮，高淳区社改造闲置资产建多功能服务社，栖霞区社帮扶青海建成花卉种苗基地。承接消费帮扶，销售对口地区产品406万元、新疆果品225吨。拓展金融服务，为66家合作社授信3.3亿元。</w:t>
      </w:r>
    </w:p>
    <w:p w14:paraId="08D41A31">
      <w:pPr>
        <w:spacing w:line="590" w:lineRule="exact"/>
        <w:ind w:firstLine="640"/>
        <w:rPr>
          <w:rFonts w:eastAsia="楷体_GB2312" w:cs="楷体_GB2312"/>
          <w:color w:val="auto"/>
        </w:rPr>
      </w:pPr>
      <w:r>
        <w:rPr>
          <w:rFonts w:hint="eastAsia" w:eastAsia="楷体_GB2312" w:cs="楷体_GB2312"/>
          <w:color w:val="auto"/>
        </w:rPr>
        <w:t>（五）</w:t>
      </w:r>
      <w:r>
        <w:rPr>
          <w:rFonts w:hint="eastAsia" w:ascii="楷体" w:hAnsi="楷体" w:eastAsia="楷体" w:cs="楷体"/>
          <w:kern w:val="2"/>
          <w:szCs w:val="32"/>
        </w:rPr>
        <w:t>以社企分开、双线运行为目标，创新举措，赋能增效，社有企业管理迈出了新步伐</w:t>
      </w:r>
    </w:p>
    <w:p w14:paraId="67EF9531">
      <w:pPr>
        <w:spacing w:line="590" w:lineRule="exact"/>
        <w:ind w:firstLine="640"/>
        <w:rPr>
          <w:rFonts w:eastAsia="仿宋_GB2312"/>
          <w:color w:val="auto"/>
        </w:rPr>
      </w:pPr>
      <w:r>
        <w:rPr>
          <w:rFonts w:hint="eastAsia" w:eastAsia="仿宋_GB2312"/>
          <w:color w:val="auto"/>
        </w:rPr>
        <w:t>创新社企管理机制，市供销集团在全省供销系统首创全面预算管理，建立党建经营双考核体系；雨花台区社深化“三项制度”改革。推动资产保值增值，高淳建成资产信息平台，溧水区社盘活3700㎡闲置资产，浦口区社挽回拆迁款740万元，市供销集团收回低效投资2130万元。筑牢安全防线，市社本级</w:t>
      </w:r>
      <w:r>
        <w:rPr>
          <w:rFonts w:hint="eastAsia" w:ascii="仿宋_GB2312" w:hAnsi="仿宋_GB2312" w:eastAsia="仿宋_GB2312" w:cs="仿宋_GB2312"/>
          <w:szCs w:val="32"/>
        </w:rPr>
        <w:t>全年</w:t>
      </w:r>
      <w:r>
        <w:rPr>
          <w:rFonts w:hint="eastAsia" w:ascii="仿宋_GB2312" w:eastAsia="仿宋_GB2312"/>
          <w:szCs w:val="32"/>
        </w:rPr>
        <w:t>开展安全生产培训</w:t>
      </w:r>
      <w:r>
        <w:rPr>
          <w:rFonts w:eastAsia="仿宋_GB2312"/>
          <w:szCs w:val="32"/>
        </w:rPr>
        <w:t>20</w:t>
      </w:r>
      <w:r>
        <w:rPr>
          <w:rFonts w:hint="eastAsia" w:ascii="仿宋_GB2312" w:eastAsia="仿宋_GB2312"/>
          <w:szCs w:val="32"/>
        </w:rPr>
        <w:t>余次，</w:t>
      </w:r>
      <w:r>
        <w:rPr>
          <w:rFonts w:hint="eastAsia" w:eastAsia="仿宋_GB2312"/>
          <w:color w:val="auto"/>
        </w:rPr>
        <w:t>开展50余次隐患排查，整改风险300余个，栖霞区社投入300万元消险加固，全年全系统无重大事故。</w:t>
      </w:r>
    </w:p>
    <w:p w14:paraId="532EE064">
      <w:pPr>
        <w:pStyle w:val="2"/>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jc w:val="left"/>
        <w:textAlignment w:val="auto"/>
        <w:rPr>
          <w:rFonts w:hint="eastAsia" w:eastAsia="方正黑体_GBK"/>
          <w:b w:val="0"/>
          <w:color w:val="auto"/>
          <w:szCs w:val="48"/>
        </w:rPr>
      </w:pPr>
      <w:bookmarkStart w:id="24" w:name="_Toc170467971"/>
      <w:r>
        <w:rPr>
          <w:rFonts w:hint="eastAsia" w:eastAsia="方正黑体_GBK"/>
          <w:b w:val="0"/>
          <w:color w:val="auto"/>
          <w:szCs w:val="48"/>
        </w:rPr>
        <w:t>存在的问题</w:t>
      </w:r>
      <w:bookmarkEnd w:id="24"/>
      <w:r>
        <w:rPr>
          <w:rFonts w:hint="eastAsia" w:eastAsia="方正黑体_GBK"/>
          <w:b w:val="0"/>
          <w:color w:val="auto"/>
          <w:szCs w:val="48"/>
          <w:lang w:val="en-US" w:eastAsia="zh-CN"/>
        </w:rPr>
        <w:t>及原因分析</w:t>
      </w:r>
    </w:p>
    <w:p w14:paraId="0CF315E7">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textAlignment w:val="auto"/>
        <w:rPr>
          <w:rFonts w:hint="eastAsia" w:eastAsia="楷体_GB2312"/>
          <w:b w:val="0"/>
          <w:color w:val="auto"/>
          <w:lang w:val="en-US" w:eastAsia="zh-CN"/>
        </w:rPr>
      </w:pPr>
      <w:r>
        <w:rPr>
          <w:rFonts w:hint="eastAsia" w:ascii="Times New Roman" w:hAnsi="Times New Roman" w:eastAsia="楷体_GB2312"/>
          <w:b w:val="0"/>
          <w:color w:val="auto"/>
        </w:rPr>
        <w:t>部分绩效目标</w:t>
      </w:r>
      <w:r>
        <w:rPr>
          <w:rFonts w:hint="eastAsia" w:eastAsia="楷体_GB2312"/>
          <w:b w:val="0"/>
          <w:color w:val="auto"/>
          <w:lang w:val="en-US" w:eastAsia="zh-CN"/>
        </w:rPr>
        <w:t>未达预期</w:t>
      </w:r>
    </w:p>
    <w:p w14:paraId="2DEFAC4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eastAsia="仿宋_GB2312"/>
          <w:color w:val="auto"/>
        </w:rPr>
      </w:pPr>
      <w:r>
        <w:rPr>
          <w:rFonts w:hint="eastAsia" w:eastAsia="仿宋_GB2312"/>
          <w:color w:val="auto"/>
          <w:lang w:val="en-US" w:eastAsia="zh-CN"/>
        </w:rPr>
        <w:t>近年来，供销合作社以服务“三农”为切入点，将工作深度融入经济社会发展大局，发挥基层组织体系优势，在农产品流通、农业社会化服务，农业农村综合服务等方面发挥积极作用。2024年以来，受宏观经济环境影响，主要是农村市场有效需求不足、部分农村产业产能过剩、消费场景预期转弱，农村流通领域循环存在堵点，这些外部环境的复杂性、严峻性、不确定性一定程度影响供销社为农服务主责主业的拓展深化。体现在年初设定的部分绩效目标未完成。比如，</w:t>
      </w:r>
      <w:r>
        <w:rPr>
          <w:rFonts w:hint="eastAsia" w:eastAsia="仿宋_GB2312"/>
          <w:color w:val="auto"/>
        </w:rPr>
        <w:t>资金扶持农产品电商销售主体31个，实际完成29个；电商人才培训1000人次，实际完成856人次；助农电商直播45场次，实际完成41场等。</w:t>
      </w:r>
    </w:p>
    <w:p w14:paraId="7C222B9D">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640"/>
        <w:textAlignment w:val="auto"/>
        <w:rPr>
          <w:rFonts w:hint="eastAsia" w:ascii="Times New Roman" w:hAnsi="Times New Roman" w:eastAsia="楷体_GB2312"/>
          <w:b w:val="0"/>
          <w:color w:val="auto"/>
          <w:lang w:val="en-US" w:eastAsia="zh-CN"/>
        </w:rPr>
      </w:pPr>
      <w:r>
        <w:rPr>
          <w:rFonts w:hint="eastAsia" w:ascii="Times New Roman" w:hAnsi="Times New Roman" w:eastAsia="楷体_GB2312"/>
          <w:b w:val="0"/>
          <w:color w:val="auto"/>
          <w:lang w:val="en-US" w:eastAsia="zh-CN"/>
        </w:rPr>
        <w:t>农村</w:t>
      </w:r>
      <w:r>
        <w:rPr>
          <w:rFonts w:hint="eastAsia" w:eastAsia="楷体_GB2312"/>
          <w:b w:val="0"/>
          <w:color w:val="auto"/>
          <w:lang w:val="en-US" w:eastAsia="zh-CN"/>
        </w:rPr>
        <w:t>电商</w:t>
      </w:r>
      <w:r>
        <w:rPr>
          <w:rFonts w:hint="eastAsia" w:ascii="Times New Roman" w:hAnsi="Times New Roman" w:eastAsia="楷体_GB2312"/>
          <w:b w:val="0"/>
          <w:color w:val="auto"/>
          <w:lang w:val="en-US" w:eastAsia="zh-CN"/>
        </w:rPr>
        <w:t>发展后劲</w:t>
      </w:r>
      <w:r>
        <w:rPr>
          <w:rFonts w:hint="eastAsia" w:eastAsia="楷体_GB2312"/>
          <w:b w:val="0"/>
          <w:color w:val="auto"/>
          <w:lang w:val="en-US" w:eastAsia="zh-CN"/>
        </w:rPr>
        <w:t>尚显</w:t>
      </w:r>
      <w:r>
        <w:rPr>
          <w:rFonts w:hint="eastAsia" w:ascii="Times New Roman" w:hAnsi="Times New Roman" w:eastAsia="楷体_GB2312"/>
          <w:b w:val="0"/>
          <w:color w:val="auto"/>
          <w:lang w:val="en-US" w:eastAsia="zh-CN"/>
        </w:rPr>
        <w:t>不足</w:t>
      </w:r>
    </w:p>
    <w:p w14:paraId="7FB99655">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eastAsia="仿宋_GB2312"/>
          <w:color w:val="auto"/>
          <w:lang w:val="en-US" w:eastAsia="zh-CN"/>
        </w:rPr>
      </w:pPr>
      <w:r>
        <w:rPr>
          <w:rFonts w:hint="eastAsia" w:eastAsia="仿宋_GB2312"/>
          <w:color w:val="auto"/>
          <w:lang w:val="en-US" w:eastAsia="zh-CN"/>
        </w:rPr>
        <w:t xml:space="preserve"> 当下，电商赛道竞争日趋激烈，内卷严重，陷入市场竞争同质化“僵局”，加上市场消费预期低迷，对农业生产资料和生活资料销售均带来较大冲击。供销社系统主要以传统的农产品上行、消费品下行为主，虽然近年来涌现出“善田江宁”“无想田园”“固城湖”等区域农产品销售品牌，但销售模式仍较单一，流通模式趋同，电商核心人才不足，以实物产品销售的电商平台居多，提供差异化、有竞争力的综合性竞品较少，提供产品附加值和服务效能较弱，一定程度上限制农村电商规模和质效的提升。</w:t>
      </w:r>
    </w:p>
    <w:p w14:paraId="14FF03B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楷体_GB2312"/>
          <w:b w:val="0"/>
          <w:color w:val="auto"/>
        </w:rPr>
      </w:pPr>
      <w:r>
        <w:rPr>
          <w:rFonts w:hint="eastAsia" w:eastAsia="楷体_GB2312"/>
          <w:b w:val="0"/>
          <w:color w:val="auto"/>
          <w:lang w:val="en-US" w:eastAsia="zh-CN"/>
        </w:rPr>
        <w:t>（三）</w:t>
      </w:r>
      <w:r>
        <w:rPr>
          <w:rFonts w:hint="eastAsia" w:ascii="Times New Roman" w:hAnsi="Times New Roman" w:eastAsia="楷体_GB2312"/>
          <w:b w:val="0"/>
          <w:color w:val="auto"/>
          <w:lang w:val="en-US" w:eastAsia="zh-CN"/>
        </w:rPr>
        <w:t>为农服务影响力仍需进一步提升</w:t>
      </w:r>
    </w:p>
    <w:p w14:paraId="7E1766C4">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eastAsia="仿宋_GB2312"/>
          <w:color w:val="auto"/>
          <w:lang w:val="en-US" w:eastAsia="zh-CN"/>
        </w:rPr>
      </w:pPr>
      <w:r>
        <w:rPr>
          <w:rFonts w:hint="eastAsia" w:eastAsia="仿宋_GB2312"/>
          <w:color w:val="auto"/>
        </w:rPr>
        <w:t>近年来，</w:t>
      </w:r>
      <w:r>
        <w:rPr>
          <w:rFonts w:hint="eastAsia" w:eastAsia="仿宋_GB2312"/>
          <w:color w:val="auto"/>
          <w:lang w:val="en-US" w:eastAsia="zh-CN"/>
        </w:rPr>
        <w:t>在财政资金大力</w:t>
      </w:r>
      <w:r>
        <w:rPr>
          <w:rFonts w:hint="eastAsia" w:eastAsia="仿宋_GB2312"/>
          <w:color w:val="auto"/>
        </w:rPr>
        <w:t>扶持</w:t>
      </w:r>
      <w:r>
        <w:rPr>
          <w:rFonts w:hint="eastAsia" w:eastAsia="仿宋_GB2312"/>
          <w:color w:val="auto"/>
          <w:lang w:val="en-US" w:eastAsia="zh-CN"/>
        </w:rPr>
        <w:t>引导下</w:t>
      </w:r>
      <w:r>
        <w:rPr>
          <w:rFonts w:hint="eastAsia" w:eastAsia="仿宋_GB2312"/>
          <w:color w:val="auto"/>
        </w:rPr>
        <w:t>，我市农村供销合作服务体系</w:t>
      </w:r>
      <w:r>
        <w:rPr>
          <w:rFonts w:hint="eastAsia" w:eastAsia="仿宋_GB2312"/>
          <w:color w:val="auto"/>
          <w:lang w:val="en-US" w:eastAsia="zh-CN"/>
        </w:rPr>
        <w:t>日趋</w:t>
      </w:r>
      <w:r>
        <w:rPr>
          <w:rFonts w:hint="eastAsia" w:eastAsia="仿宋_GB2312"/>
          <w:color w:val="auto"/>
        </w:rPr>
        <w:t>完善</w:t>
      </w:r>
      <w:r>
        <w:rPr>
          <w:rFonts w:hint="eastAsia" w:eastAsia="仿宋_GB2312"/>
          <w:color w:val="auto"/>
          <w:lang w:eastAsia="zh-CN"/>
        </w:rPr>
        <w:t>，</w:t>
      </w:r>
      <w:r>
        <w:rPr>
          <w:rFonts w:hint="eastAsia" w:eastAsia="仿宋_GB2312"/>
          <w:color w:val="auto"/>
          <w:lang w:val="en-US" w:eastAsia="zh-CN"/>
        </w:rPr>
        <w:t>但由于南京南北地域自然环境不同、发展基础不同等，全市7个区社为农服务不平衡问题仍未解决，体现在供销社冷链物流、再生资源领域仍需拓展，综合性为农服务平台建设力度不够，发展协同性有待提升，直接影响了为农服务作用的充分发挥，全市供销社系统在提升为农服务满意度和影响力上任重道远。</w:t>
      </w:r>
    </w:p>
    <w:p w14:paraId="1DFF58D9">
      <w:pPr>
        <w:pStyle w:val="2"/>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left"/>
        <w:textAlignment w:val="auto"/>
        <w:rPr>
          <w:rFonts w:hint="eastAsia" w:eastAsia="方正黑体_GBK"/>
          <w:b w:val="0"/>
          <w:color w:val="auto"/>
          <w:szCs w:val="48"/>
        </w:rPr>
      </w:pPr>
      <w:bookmarkStart w:id="25" w:name="_Toc170467975"/>
      <w:r>
        <w:rPr>
          <w:rFonts w:hint="eastAsia" w:eastAsia="方正黑体_GBK"/>
          <w:b w:val="0"/>
          <w:color w:val="auto"/>
          <w:szCs w:val="48"/>
        </w:rPr>
        <w:t>有关建议</w:t>
      </w:r>
      <w:bookmarkEnd w:id="25"/>
    </w:p>
    <w:p w14:paraId="4DD002BD">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4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强化跟踪闭环，提升绩效目标管控精细化水平</w:t>
      </w:r>
    </w:p>
    <w:p w14:paraId="6C8A1C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90" w:lineRule="exact"/>
        <w:ind w:left="0" w:leftChars="0" w:right="0" w:firstLine="640" w:firstLineChars="200"/>
        <w:textAlignment w:val="auto"/>
        <w:rPr>
          <w:rFonts w:hint="eastAsia" w:ascii="仿宋" w:hAnsi="仿宋" w:eastAsia="仿宋" w:cs="仿宋"/>
          <w:i w:val="0"/>
          <w:iCs w:val="0"/>
          <w:caps w:val="0"/>
          <w:spacing w:val="0"/>
          <w:kern w:val="2"/>
          <w:sz w:val="30"/>
          <w:szCs w:val="30"/>
          <w:u w:val="none"/>
          <w:shd w:val="clear"/>
          <w:lang w:val="en-US" w:eastAsia="zh-CN" w:bidi="ar-SA"/>
        </w:rPr>
      </w:pPr>
      <w:r>
        <w:rPr>
          <w:rFonts w:hint="eastAsia" w:eastAsia="仿宋_GB2312"/>
          <w:color w:val="auto"/>
          <w:lang w:val="en-US" w:eastAsia="zh-CN"/>
        </w:rPr>
        <w:t>针对部分绩效目标受外部环境影响未达预期的问题，应建立健全绩效目标全过程、动态化跟踪管理机制。一是实施动态监测预警。 建立绩效目标执行情况季度监测与分析机制，部门整体支出和项目支出全覆盖，对偏离情况及时预警并及时纠偏，提前安排工作时限和节点，细化分解并落实到具体业务处室，确保过程管理落实落细、取得实效，实现从“事后评价”向“事中管控”前移。二是及时纠偏优化调整。根据目标管控情况，开展定期分析研判，对因外部环境发生重大变化难以完成的目标，在科学评估基础上，积极沟通反馈并按程序要求尽可能进行调整纠偏。三是强化结果运用与闭环管理。 积极将绩效评价结果应用于预算安排、政策优化，形成“设定-监测-评价-反馈-应用-提升”的管理闭环。对未完成的目标深入分析原因，制定下一步工作改进建议，并将其作为下一年度目标设定与工作计划制定的重要依据，持续提升目标管理的科学性与精准性。</w:t>
      </w:r>
    </w:p>
    <w:p w14:paraId="605C9003">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强化人才培养，创新农村电商发展新模式</w:t>
      </w:r>
    </w:p>
    <w:p w14:paraId="7E4CEA7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90" w:lineRule="exact"/>
        <w:ind w:left="0" w:leftChars="0" w:right="0" w:firstLine="640" w:firstLineChars="200"/>
        <w:textAlignment w:val="auto"/>
        <w:rPr>
          <w:rFonts w:hint="default" w:eastAsia="仿宋_GB2312"/>
          <w:color w:val="auto"/>
          <w:lang w:val="en-US" w:eastAsia="zh-CN"/>
        </w:rPr>
      </w:pPr>
      <w:r>
        <w:rPr>
          <w:rFonts w:hint="eastAsia" w:eastAsia="仿宋_GB2312"/>
          <w:color w:val="auto"/>
          <w:lang w:val="en-US" w:eastAsia="zh-CN"/>
        </w:rPr>
        <w:t>为破解农村电商发展后劲不足、模式单一、人才匮乏的困境，需在人才队伍建设与发展模式创新上双向发力。一是加大电商培训力度。加强与专业机构、电商平台及高等院校合作，紧密结合市场导向，常态化、系统化开展本土电商人才培训，电商培训课程设定科学合理，更具实操性、应用型和体系性，加强培训后跟踪服务，注重培训效果和满意度，让培训成效转化为助推供销社电商行业高质量发展的动力。二是多措并举助推电商产业模式升级。持续搭建农产品展销平台、推广线上电商渠道等方式助农销售，开展直播电商助农活动,创新“农产品直通车”灵活销售模式，用心讲好供销社特色农产品品牌故事。同时，引导从“卖产品”向“卖服务”、“卖体验”延伸，发展农产品定制、预售、认养等新兴业态，大力支持区域公共品牌（如“善田江宁”等）深化内涵，增加产品文化附加值与品牌竞争力，复制推广系统内“交邮快供”模式，积极发挥财政资金引导作用，增强我市农村电商发展动力。</w:t>
      </w:r>
    </w:p>
    <w:p w14:paraId="2B3F9108">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强化联合合作，推动为农服务质效有新提升</w:t>
      </w:r>
    </w:p>
    <w:p w14:paraId="7B4E100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90" w:lineRule="exact"/>
        <w:ind w:left="0" w:leftChars="0" w:right="0" w:firstLine="640" w:firstLineChars="200"/>
        <w:textAlignment w:val="auto"/>
        <w:rPr>
          <w:rFonts w:hint="eastAsia" w:eastAsia="仿宋_GB2312"/>
          <w:color w:val="auto"/>
          <w:lang w:val="en-US" w:eastAsia="zh-CN"/>
        </w:rPr>
      </w:pPr>
      <w:r>
        <w:rPr>
          <w:rFonts w:hint="eastAsia" w:eastAsia="仿宋_GB2312"/>
          <w:color w:val="auto"/>
          <w:lang w:val="en-US" w:eastAsia="zh-CN"/>
        </w:rPr>
        <w:t>一是联合农业农村局、商务局等政府职能部门，与邮政、快递、农业龙头企业、大型家庭农场等加强合作，共同构建农业社会化服务体系。二是全市供销社系统要树立“一盘棋”思想。鼓励发展好的区社分享经验，在项目、资源上互相支持，逐步缩小南北区域间的服务差距。三是整合政策、网络、技术和市场资源，探索搭建集农资供应、农产品销售、冷链物流、技术指导、废弃物回收于一体的标准化、集约化综合性为农服务平台，不断拓展为农服务新领域，提升供销社为农服务服务能力与覆盖面，切实增强农民群众的获得感与满意度，进一步彰显供销社为农服务影响力。</w:t>
      </w:r>
    </w:p>
    <w:p w14:paraId="19D45088">
      <w:pPr>
        <w:pStyle w:val="2"/>
        <w:keepNext w:val="0"/>
        <w:keepLines w:val="0"/>
        <w:spacing w:line="590" w:lineRule="exact"/>
        <w:ind w:firstLine="640"/>
        <w:jc w:val="left"/>
        <w:rPr>
          <w:rFonts w:cs="黑体"/>
          <w:b w:val="0"/>
          <w:color w:val="auto"/>
          <w:szCs w:val="48"/>
        </w:rPr>
      </w:pPr>
      <w:bookmarkStart w:id="26" w:name="_Toc170467961"/>
      <w:bookmarkStart w:id="27" w:name="_Toc170467979"/>
      <w:r>
        <w:rPr>
          <w:rFonts w:hint="eastAsia" w:cs="黑体"/>
          <w:b w:val="0"/>
          <w:color w:val="auto"/>
          <w:szCs w:val="48"/>
        </w:rPr>
        <w:t>六、</w:t>
      </w:r>
      <w:bookmarkEnd w:id="26"/>
      <w:r>
        <w:rPr>
          <w:rFonts w:hint="eastAsia" w:cs="黑体"/>
          <w:b w:val="0"/>
          <w:szCs w:val="32"/>
        </w:rPr>
        <w:t>评价工作开展情况及其他需说明的情况</w:t>
      </w:r>
    </w:p>
    <w:p w14:paraId="204D79AA">
      <w:pPr>
        <w:overflowPunct w:val="0"/>
        <w:autoSpaceDE w:val="0"/>
        <w:autoSpaceDN w:val="0"/>
        <w:spacing w:line="590" w:lineRule="exact"/>
        <w:ind w:firstLine="640"/>
        <w:textAlignment w:val="baseline"/>
        <w:outlineLvl w:val="1"/>
        <w:rPr>
          <w:rFonts w:eastAsia="楷体_GB2312" w:cs="楷体_GB2312"/>
          <w:bCs/>
          <w:szCs w:val="32"/>
          <w:shd w:val="clear" w:color="auto" w:fill="FFFFFF"/>
        </w:rPr>
      </w:pPr>
      <w:bookmarkStart w:id="28" w:name="_Toc13862"/>
      <w:bookmarkStart w:id="29" w:name="_Toc8814"/>
      <w:bookmarkStart w:id="30" w:name="_Toc24992"/>
      <w:bookmarkStart w:id="31" w:name="_Toc3880"/>
      <w:bookmarkStart w:id="32" w:name="_Toc27308"/>
      <w:r>
        <w:rPr>
          <w:rFonts w:hint="eastAsia" w:eastAsia="楷体_GB2312" w:cs="楷体_GB2312"/>
          <w:bCs/>
          <w:szCs w:val="32"/>
          <w:shd w:val="clear" w:color="auto" w:fill="FFFFFF"/>
        </w:rPr>
        <w:t>（一）评价目的</w:t>
      </w:r>
      <w:bookmarkEnd w:id="28"/>
      <w:bookmarkEnd w:id="29"/>
      <w:bookmarkEnd w:id="30"/>
      <w:bookmarkEnd w:id="31"/>
      <w:bookmarkEnd w:id="32"/>
    </w:p>
    <w:p w14:paraId="51F9FA74">
      <w:pPr>
        <w:spacing w:line="590" w:lineRule="exact"/>
        <w:ind w:firstLine="640"/>
        <w:rPr>
          <w:rFonts w:eastAsia="仿宋_GB2312"/>
          <w:color w:val="auto"/>
        </w:rPr>
      </w:pPr>
      <w:r>
        <w:rPr>
          <w:rFonts w:hint="eastAsia" w:eastAsia="仿宋_GB2312"/>
          <w:color w:val="auto"/>
        </w:rPr>
        <w:t>部门整体绩效评价工作主要目的是全面了解部门预算绩效管理水平，规范部门预算管理制度健全性和执行有效性，提升部门收支的经济性、效率性和效益性，更好地促进部门履职、部门管理和事业发展。</w:t>
      </w:r>
    </w:p>
    <w:p w14:paraId="091FED87">
      <w:pPr>
        <w:overflowPunct w:val="0"/>
        <w:autoSpaceDE w:val="0"/>
        <w:autoSpaceDN w:val="0"/>
        <w:spacing w:line="590" w:lineRule="exact"/>
        <w:ind w:firstLine="640"/>
        <w:textAlignment w:val="baseline"/>
        <w:outlineLvl w:val="1"/>
        <w:rPr>
          <w:rFonts w:eastAsia="楷体_GB2312" w:cs="楷体_GB2312"/>
          <w:bCs/>
          <w:szCs w:val="32"/>
          <w:shd w:val="clear" w:color="auto" w:fill="FFFFFF"/>
        </w:rPr>
      </w:pPr>
      <w:r>
        <w:rPr>
          <w:rFonts w:hint="eastAsia" w:eastAsia="楷体_GB2312" w:cs="楷体_GB2312"/>
          <w:bCs/>
          <w:szCs w:val="32"/>
          <w:shd w:val="clear" w:color="auto" w:fill="FFFFFF"/>
        </w:rPr>
        <w:t>（二）评价依据</w:t>
      </w:r>
    </w:p>
    <w:p w14:paraId="2D9A2F76">
      <w:pPr>
        <w:spacing w:line="590" w:lineRule="exact"/>
        <w:ind w:firstLine="640"/>
        <w:rPr>
          <w:rFonts w:eastAsia="仿宋_GB2312"/>
          <w:color w:val="auto"/>
        </w:rPr>
      </w:pPr>
      <w:r>
        <w:rPr>
          <w:rFonts w:hint="eastAsia" w:eastAsia="仿宋_GB2312"/>
          <w:color w:val="auto"/>
        </w:rPr>
        <w:t>（1）《中华人民共和国预算法》；</w:t>
      </w:r>
    </w:p>
    <w:p w14:paraId="1ED3163C">
      <w:pPr>
        <w:spacing w:line="590" w:lineRule="exact"/>
        <w:ind w:firstLine="640"/>
        <w:rPr>
          <w:rFonts w:eastAsia="仿宋_GB2312"/>
          <w:color w:val="auto"/>
        </w:rPr>
      </w:pPr>
      <w:r>
        <w:rPr>
          <w:rFonts w:hint="eastAsia" w:eastAsia="仿宋_GB2312"/>
          <w:color w:val="auto"/>
        </w:rPr>
        <w:t>（2）《中共中央国务院关于全面实施预算绩效管理的意见》（中发〔2018〕34号）；</w:t>
      </w:r>
    </w:p>
    <w:p w14:paraId="1C09C283">
      <w:pPr>
        <w:spacing w:line="590" w:lineRule="exact"/>
        <w:ind w:firstLine="640"/>
        <w:rPr>
          <w:rFonts w:eastAsia="仿宋_GB2312"/>
          <w:color w:val="auto"/>
        </w:rPr>
      </w:pPr>
      <w:r>
        <w:rPr>
          <w:rFonts w:hint="eastAsia" w:eastAsia="仿宋_GB2312"/>
          <w:color w:val="auto"/>
        </w:rPr>
        <w:t>（3）《关于贯彻落实中共中央国务院关于全面实施预算绩效管理的意见的通知》（财预〔2018〕167号）；</w:t>
      </w:r>
    </w:p>
    <w:p w14:paraId="7F06F594">
      <w:pPr>
        <w:spacing w:line="590" w:lineRule="exact"/>
        <w:ind w:firstLine="640"/>
        <w:rPr>
          <w:rFonts w:eastAsia="仿宋_GB2312"/>
          <w:color w:val="auto"/>
        </w:rPr>
      </w:pPr>
      <w:r>
        <w:rPr>
          <w:rFonts w:hint="eastAsia" w:eastAsia="仿宋_GB2312"/>
          <w:color w:val="auto"/>
        </w:rPr>
        <w:t>（4）《中共江苏省委江苏省人民政府关于全面实施预算绩效管理的实施意见》（苏发〔2019〕6号）；</w:t>
      </w:r>
    </w:p>
    <w:p w14:paraId="51BE41EC">
      <w:pPr>
        <w:spacing w:line="590" w:lineRule="exact"/>
        <w:ind w:firstLine="640"/>
        <w:rPr>
          <w:rFonts w:eastAsia="仿宋_GB2312"/>
          <w:color w:val="auto"/>
        </w:rPr>
      </w:pPr>
      <w:r>
        <w:rPr>
          <w:rFonts w:hint="eastAsia" w:eastAsia="仿宋_GB2312"/>
          <w:color w:val="auto"/>
        </w:rPr>
        <w:t>（5）《关于印发〈项目支出绩效评价管理办法〉的通知》（财预〔2020〕10号）；</w:t>
      </w:r>
    </w:p>
    <w:p w14:paraId="4FF37ACA">
      <w:pPr>
        <w:spacing w:line="590" w:lineRule="exact"/>
        <w:ind w:firstLine="640"/>
        <w:rPr>
          <w:rFonts w:eastAsia="仿宋_GB2312"/>
          <w:color w:val="auto"/>
        </w:rPr>
      </w:pPr>
      <w:r>
        <w:rPr>
          <w:rFonts w:hint="eastAsia" w:eastAsia="仿宋_GB2312"/>
          <w:color w:val="auto"/>
        </w:rPr>
        <w:t>（6）关于印发《南京市市级预算绩效目标管理操作规程(试行)》的通知（宁财绩〔2020〕388号）；</w:t>
      </w:r>
    </w:p>
    <w:p w14:paraId="7EE8ABC4">
      <w:pPr>
        <w:spacing w:line="590" w:lineRule="exact"/>
        <w:ind w:firstLine="640"/>
        <w:rPr>
          <w:rFonts w:eastAsia="仿宋_GB2312"/>
          <w:color w:val="auto"/>
        </w:rPr>
      </w:pPr>
      <w:r>
        <w:rPr>
          <w:rFonts w:hint="eastAsia" w:eastAsia="仿宋_GB2312"/>
          <w:color w:val="auto"/>
        </w:rPr>
        <w:t>（7）《南京市市级预算绩效管理办法》（宁委办厅字〔2024〕2号）；</w:t>
      </w:r>
    </w:p>
    <w:p w14:paraId="67FD45D4">
      <w:pPr>
        <w:spacing w:line="590" w:lineRule="exact"/>
        <w:ind w:firstLine="640"/>
        <w:rPr>
          <w:rFonts w:eastAsia="仿宋_GB2312"/>
          <w:color w:val="auto"/>
        </w:rPr>
      </w:pPr>
      <w:r>
        <w:rPr>
          <w:rFonts w:hint="eastAsia" w:eastAsia="仿宋_GB2312"/>
          <w:color w:val="auto"/>
        </w:rPr>
        <w:t>（8）《关于开展2025年度预算绩效信息公开工作的通知》（宁财绩〔2025〕41号）；</w:t>
      </w:r>
    </w:p>
    <w:p w14:paraId="44F934A8">
      <w:pPr>
        <w:spacing w:line="590" w:lineRule="exact"/>
        <w:ind w:firstLine="640"/>
        <w:rPr>
          <w:rFonts w:eastAsia="仿宋_GB2312"/>
          <w:color w:val="auto"/>
        </w:rPr>
      </w:pPr>
      <w:r>
        <w:rPr>
          <w:rFonts w:hint="eastAsia" w:eastAsia="仿宋_GB2312"/>
          <w:color w:val="auto"/>
        </w:rPr>
        <w:t>（9）《关于印发2025年南京市市级预算部门（单位）预算绩效管理责任清单的通知》（宁财绩〔2025〕106号）；</w:t>
      </w:r>
    </w:p>
    <w:p w14:paraId="0D319D2C">
      <w:pPr>
        <w:spacing w:line="590" w:lineRule="exact"/>
        <w:ind w:firstLine="640"/>
        <w:rPr>
          <w:rFonts w:eastAsia="仿宋_GB2312"/>
          <w:color w:val="auto"/>
        </w:rPr>
      </w:pPr>
      <w:r>
        <w:rPr>
          <w:rFonts w:hint="eastAsia" w:eastAsia="仿宋_GB2312"/>
          <w:color w:val="auto"/>
        </w:rPr>
        <w:t>（10）其他相关文件或资料，包括南京市供销合作总社长期规划、相关法律法规政策文件、内部控制制度、资金管理制度、部门管理过程资料（立项及预算文件、方案或计划、工作台账、工作总结、绩效报告等）、信息化系统数据、满意度调查及访谈等相关资料。</w:t>
      </w:r>
    </w:p>
    <w:p w14:paraId="1D3A975F">
      <w:pPr>
        <w:pStyle w:val="2"/>
        <w:keepNext w:val="0"/>
        <w:keepLines w:val="0"/>
        <w:spacing w:line="590" w:lineRule="exact"/>
        <w:ind w:firstLine="640"/>
        <w:jc w:val="left"/>
        <w:rPr>
          <w:rFonts w:eastAsia="方正黑体_GBK"/>
          <w:b w:val="0"/>
          <w:color w:val="auto"/>
          <w:szCs w:val="48"/>
        </w:rPr>
      </w:pPr>
    </w:p>
    <w:p w14:paraId="1405AFF9">
      <w:pPr>
        <w:pStyle w:val="2"/>
        <w:keepNext w:val="0"/>
        <w:keepLines w:val="0"/>
        <w:spacing w:line="590" w:lineRule="exact"/>
        <w:ind w:firstLine="640"/>
        <w:jc w:val="left"/>
        <w:rPr>
          <w:rFonts w:eastAsia="仿宋_GB2312"/>
          <w:b w:val="0"/>
          <w:color w:val="auto"/>
        </w:rPr>
      </w:pPr>
      <w:r>
        <w:rPr>
          <w:rFonts w:hint="eastAsia" w:eastAsia="仿宋_GB2312" w:cs="仿宋_GB2312"/>
          <w:b w:val="0"/>
          <w:color w:val="auto"/>
          <w:szCs w:val="48"/>
        </w:rPr>
        <w:t>附件</w:t>
      </w:r>
      <w:bookmarkEnd w:id="27"/>
      <w:r>
        <w:rPr>
          <w:rFonts w:hint="eastAsia" w:eastAsia="仿宋_GB2312" w:cs="仿宋_GB2312"/>
          <w:b w:val="0"/>
          <w:color w:val="auto"/>
          <w:szCs w:val="48"/>
        </w:rPr>
        <w:t>：</w:t>
      </w:r>
      <w:bookmarkStart w:id="33" w:name="_Toc170467980"/>
      <w:r>
        <w:rPr>
          <w:rFonts w:hint="eastAsia" w:eastAsia="仿宋_GB2312"/>
          <w:b w:val="0"/>
          <w:color w:val="auto"/>
        </w:rPr>
        <w:t>2024年度南京市供销合作总社部门整体绩效评价指标体系评分表</w:t>
      </w:r>
      <w:bookmarkEnd w:id="33"/>
    </w:p>
    <w:p w14:paraId="149132B1">
      <w:pPr>
        <w:ind w:firstLine="640"/>
        <w:rPr>
          <w:rFonts w:eastAsia="楷体_GB2312"/>
          <w:color w:val="auto"/>
        </w:rPr>
      </w:pPr>
    </w:p>
    <w:p w14:paraId="311BF1B2">
      <w:pPr>
        <w:ind w:firstLine="0" w:firstLineChars="0"/>
        <w:rPr>
          <w:color w:val="auto"/>
        </w:rPr>
        <w:sectPr>
          <w:headerReference r:id="rId7" w:type="first"/>
          <w:footerReference r:id="rId10" w:type="first"/>
          <w:headerReference r:id="rId5" w:type="default"/>
          <w:footerReference r:id="rId8" w:type="default"/>
          <w:headerReference r:id="rId6" w:type="even"/>
          <w:footerReference r:id="rId9" w:type="even"/>
          <w:footnotePr>
            <w:numStart w:val="0"/>
          </w:footnotePr>
          <w:endnotePr>
            <w:numFmt w:val="decimal"/>
            <w:numStart w:val="0"/>
          </w:endnotePr>
          <w:pgSz w:w="11907" w:h="16840"/>
          <w:pgMar w:top="1134" w:right="1531" w:bottom="1134" w:left="1531" w:header="0" w:footer="227" w:gutter="0"/>
          <w:pgNumType w:start="1"/>
          <w:cols w:space="0" w:num="1"/>
        </w:sectPr>
      </w:pPr>
    </w:p>
    <w:p w14:paraId="3B501563">
      <w:pPr>
        <w:ind w:firstLine="643"/>
        <w:jc w:val="center"/>
        <w:rPr>
          <w:b/>
          <w:bCs/>
          <w:color w:val="auto"/>
        </w:rPr>
      </w:pPr>
      <w:r>
        <w:rPr>
          <w:rFonts w:hint="eastAsia"/>
          <w:b/>
          <w:bCs/>
          <w:color w:val="auto"/>
        </w:rPr>
        <w:t>2024年度南京市供销合作总社部门整体绩效评价指标体系评分表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688"/>
        <w:gridCol w:w="1226"/>
        <w:gridCol w:w="1161"/>
        <w:gridCol w:w="705"/>
        <w:gridCol w:w="2390"/>
        <w:gridCol w:w="3619"/>
        <w:gridCol w:w="2887"/>
        <w:gridCol w:w="794"/>
      </w:tblGrid>
      <w:tr w14:paraId="34E7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76" w:type="pct"/>
            <w:vMerge w:val="restart"/>
            <w:shd w:val="clear" w:color="auto" w:fill="D9D9D9"/>
            <w:vAlign w:val="center"/>
          </w:tcPr>
          <w:p w14:paraId="12751D68">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一级指标</w:t>
            </w:r>
          </w:p>
        </w:tc>
        <w:tc>
          <w:tcPr>
            <w:tcW w:w="551" w:type="pct"/>
            <w:vMerge w:val="restart"/>
            <w:shd w:val="clear" w:color="auto" w:fill="D9D9D9"/>
            <w:vAlign w:val="center"/>
          </w:tcPr>
          <w:p w14:paraId="6CA32297">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二级指标</w:t>
            </w:r>
          </w:p>
        </w:tc>
        <w:tc>
          <w:tcPr>
            <w:tcW w:w="1789" w:type="pct"/>
            <w:gridSpan w:val="4"/>
            <w:shd w:val="clear" w:color="auto" w:fill="D9D9D9"/>
            <w:vAlign w:val="center"/>
          </w:tcPr>
          <w:p w14:paraId="3C77D51F">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三级指标</w:t>
            </w:r>
          </w:p>
        </w:tc>
        <w:tc>
          <w:tcPr>
            <w:tcW w:w="1181" w:type="pct"/>
            <w:vMerge w:val="restart"/>
            <w:shd w:val="clear" w:color="auto" w:fill="D9D9D9"/>
            <w:vAlign w:val="center"/>
          </w:tcPr>
          <w:p w14:paraId="38B0989F">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评价要点及评分规则</w:t>
            </w:r>
          </w:p>
        </w:tc>
        <w:tc>
          <w:tcPr>
            <w:tcW w:w="942" w:type="pct"/>
            <w:vMerge w:val="restart"/>
            <w:shd w:val="clear" w:color="auto" w:fill="D9D9D9"/>
            <w:vAlign w:val="center"/>
          </w:tcPr>
          <w:p w14:paraId="5434428A">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实际完成值</w:t>
            </w:r>
          </w:p>
        </w:tc>
        <w:tc>
          <w:tcPr>
            <w:tcW w:w="259" w:type="pct"/>
            <w:vMerge w:val="restart"/>
            <w:shd w:val="clear" w:color="auto" w:fill="D9D9D9"/>
            <w:vAlign w:val="center"/>
          </w:tcPr>
          <w:p w14:paraId="3DD5CC93">
            <w:pPr>
              <w:widowControl/>
              <w:adjustRightInd w:val="0"/>
              <w:snapToGrid w:val="0"/>
              <w:spacing w:line="260" w:lineRule="exact"/>
              <w:ind w:firstLine="0" w:firstLineChars="0"/>
              <w:jc w:val="center"/>
              <w:textAlignment w:val="center"/>
              <w:rPr>
                <w:rFonts w:cs="宋体"/>
                <w:b/>
                <w:bCs/>
                <w:color w:val="auto"/>
                <w:kern w:val="2"/>
                <w:sz w:val="21"/>
                <w:szCs w:val="16"/>
              </w:rPr>
            </w:pPr>
            <w:r>
              <w:rPr>
                <w:rFonts w:hint="eastAsia" w:cs="宋体"/>
                <w:b/>
                <w:bCs/>
                <w:color w:val="auto"/>
                <w:sz w:val="21"/>
                <w:szCs w:val="16"/>
              </w:rPr>
              <w:t>得分</w:t>
            </w:r>
          </w:p>
        </w:tc>
      </w:tr>
      <w:tr w14:paraId="0AA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76" w:type="pct"/>
            <w:vMerge w:val="continue"/>
            <w:shd w:val="clear" w:color="auto" w:fill="D9D9D9"/>
            <w:vAlign w:val="center"/>
          </w:tcPr>
          <w:p w14:paraId="608539C5">
            <w:pPr>
              <w:widowControl/>
              <w:adjustRightInd w:val="0"/>
              <w:snapToGrid w:val="0"/>
              <w:spacing w:line="260" w:lineRule="exact"/>
              <w:ind w:firstLine="0" w:firstLineChars="0"/>
              <w:jc w:val="center"/>
              <w:rPr>
                <w:rFonts w:cs="宋体"/>
                <w:b/>
                <w:bCs/>
                <w:kern w:val="2"/>
                <w:sz w:val="21"/>
                <w:szCs w:val="16"/>
              </w:rPr>
            </w:pPr>
          </w:p>
        </w:tc>
        <w:tc>
          <w:tcPr>
            <w:tcW w:w="551" w:type="pct"/>
            <w:vMerge w:val="continue"/>
            <w:shd w:val="clear" w:color="auto" w:fill="D9D9D9"/>
            <w:vAlign w:val="center"/>
          </w:tcPr>
          <w:p w14:paraId="2115AD92">
            <w:pPr>
              <w:widowControl/>
              <w:adjustRightInd w:val="0"/>
              <w:snapToGrid w:val="0"/>
              <w:spacing w:line="260" w:lineRule="exact"/>
              <w:ind w:firstLine="0" w:firstLineChars="0"/>
              <w:jc w:val="center"/>
              <w:rPr>
                <w:rFonts w:cs="宋体"/>
                <w:b/>
                <w:bCs/>
                <w:kern w:val="2"/>
                <w:sz w:val="21"/>
                <w:szCs w:val="16"/>
              </w:rPr>
            </w:pPr>
          </w:p>
        </w:tc>
        <w:tc>
          <w:tcPr>
            <w:tcW w:w="400" w:type="pct"/>
            <w:shd w:val="clear" w:color="auto" w:fill="D9D9D9"/>
            <w:vAlign w:val="center"/>
          </w:tcPr>
          <w:p w14:paraId="57ED4827">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指标名称</w:t>
            </w:r>
          </w:p>
        </w:tc>
        <w:tc>
          <w:tcPr>
            <w:tcW w:w="379" w:type="pct"/>
            <w:shd w:val="clear" w:color="auto" w:fill="D9D9D9"/>
            <w:vAlign w:val="center"/>
          </w:tcPr>
          <w:p w14:paraId="266D9F14">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标准值</w:t>
            </w:r>
          </w:p>
        </w:tc>
        <w:tc>
          <w:tcPr>
            <w:tcW w:w="230" w:type="pct"/>
            <w:shd w:val="clear" w:color="auto" w:fill="D9D9D9"/>
            <w:vAlign w:val="center"/>
          </w:tcPr>
          <w:p w14:paraId="1D9B03B7">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分值</w:t>
            </w:r>
          </w:p>
        </w:tc>
        <w:tc>
          <w:tcPr>
            <w:tcW w:w="780" w:type="pct"/>
            <w:shd w:val="clear" w:color="auto" w:fill="D9D9D9"/>
            <w:vAlign w:val="center"/>
          </w:tcPr>
          <w:p w14:paraId="316DB56D">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指标解释说明</w:t>
            </w:r>
          </w:p>
        </w:tc>
        <w:tc>
          <w:tcPr>
            <w:tcW w:w="1181" w:type="pct"/>
            <w:vMerge w:val="continue"/>
            <w:shd w:val="clear" w:color="auto" w:fill="D9D9D9"/>
            <w:vAlign w:val="center"/>
          </w:tcPr>
          <w:p w14:paraId="29629E5D">
            <w:pPr>
              <w:widowControl/>
              <w:adjustRightInd w:val="0"/>
              <w:snapToGrid w:val="0"/>
              <w:spacing w:line="260" w:lineRule="exact"/>
              <w:ind w:firstLine="0" w:firstLineChars="0"/>
              <w:jc w:val="center"/>
              <w:rPr>
                <w:rFonts w:cs="宋体"/>
                <w:b/>
                <w:bCs/>
                <w:kern w:val="2"/>
                <w:sz w:val="21"/>
                <w:szCs w:val="16"/>
              </w:rPr>
            </w:pPr>
          </w:p>
        </w:tc>
        <w:tc>
          <w:tcPr>
            <w:tcW w:w="942" w:type="pct"/>
            <w:vMerge w:val="continue"/>
            <w:shd w:val="clear" w:color="auto" w:fill="D9D9D9"/>
            <w:vAlign w:val="center"/>
          </w:tcPr>
          <w:p w14:paraId="153CB36B">
            <w:pPr>
              <w:widowControl/>
              <w:adjustRightInd w:val="0"/>
              <w:snapToGrid w:val="0"/>
              <w:spacing w:line="260" w:lineRule="exact"/>
              <w:ind w:firstLine="0" w:firstLineChars="0"/>
              <w:jc w:val="center"/>
              <w:rPr>
                <w:rFonts w:cs="宋体"/>
                <w:b/>
                <w:bCs/>
                <w:kern w:val="2"/>
                <w:sz w:val="21"/>
                <w:szCs w:val="16"/>
              </w:rPr>
            </w:pPr>
          </w:p>
        </w:tc>
        <w:tc>
          <w:tcPr>
            <w:tcW w:w="259" w:type="pct"/>
            <w:vMerge w:val="continue"/>
            <w:shd w:val="clear" w:color="auto" w:fill="D9D9D9"/>
            <w:vAlign w:val="center"/>
          </w:tcPr>
          <w:p w14:paraId="132A914F">
            <w:pPr>
              <w:widowControl/>
              <w:adjustRightInd w:val="0"/>
              <w:snapToGrid w:val="0"/>
              <w:spacing w:line="260" w:lineRule="exact"/>
              <w:ind w:firstLine="0" w:firstLineChars="0"/>
              <w:jc w:val="center"/>
              <w:rPr>
                <w:rFonts w:cs="宋体"/>
                <w:b/>
                <w:bCs/>
                <w:kern w:val="2"/>
                <w:sz w:val="21"/>
                <w:szCs w:val="16"/>
              </w:rPr>
            </w:pPr>
          </w:p>
        </w:tc>
      </w:tr>
      <w:tr w14:paraId="167A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restart"/>
            <w:shd w:val="clear" w:color="auto" w:fill="auto"/>
            <w:vAlign w:val="center"/>
          </w:tcPr>
          <w:p w14:paraId="20B2D688">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A决策（6）</w:t>
            </w:r>
          </w:p>
        </w:tc>
        <w:tc>
          <w:tcPr>
            <w:tcW w:w="551" w:type="pct"/>
            <w:vMerge w:val="restart"/>
            <w:shd w:val="clear" w:color="auto" w:fill="auto"/>
            <w:vAlign w:val="center"/>
          </w:tcPr>
          <w:p w14:paraId="521BB95C">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A1计划制定（</w:t>
            </w:r>
            <w:r>
              <w:rPr>
                <w:rFonts w:hint="eastAsia" w:cs="宋体"/>
                <w:sz w:val="21"/>
                <w:szCs w:val="16"/>
                <w:lang w:val="en-US" w:eastAsia="zh-CN"/>
              </w:rPr>
              <w:t>2</w:t>
            </w:r>
            <w:r>
              <w:rPr>
                <w:rFonts w:hint="eastAsia" w:cs="宋体"/>
                <w:sz w:val="21"/>
                <w:szCs w:val="16"/>
              </w:rPr>
              <w:t>）</w:t>
            </w:r>
          </w:p>
        </w:tc>
        <w:tc>
          <w:tcPr>
            <w:tcW w:w="400" w:type="pct"/>
            <w:shd w:val="clear" w:color="auto" w:fill="auto"/>
            <w:vAlign w:val="center"/>
          </w:tcPr>
          <w:p w14:paraId="5548CF3E">
            <w:pPr>
              <w:widowControl/>
              <w:adjustRightInd w:val="0"/>
              <w:snapToGrid w:val="0"/>
              <w:spacing w:line="260" w:lineRule="exact"/>
              <w:ind w:firstLine="0" w:firstLineChars="0"/>
              <w:textAlignment w:val="center"/>
              <w:rPr>
                <w:rFonts w:cs="宋体"/>
                <w:kern w:val="2"/>
                <w:sz w:val="21"/>
                <w:szCs w:val="16"/>
              </w:rPr>
            </w:pPr>
            <w:r>
              <w:rPr>
                <w:rFonts w:hint="eastAsia" w:cs="宋体"/>
                <w:sz w:val="21"/>
                <w:szCs w:val="16"/>
              </w:rPr>
              <w:t>A11中长期规划制定健全性</w:t>
            </w:r>
          </w:p>
        </w:tc>
        <w:tc>
          <w:tcPr>
            <w:tcW w:w="379" w:type="pct"/>
            <w:shd w:val="clear" w:color="auto" w:fill="auto"/>
            <w:vAlign w:val="center"/>
          </w:tcPr>
          <w:p w14:paraId="581292C9">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健全</w:t>
            </w:r>
          </w:p>
        </w:tc>
        <w:tc>
          <w:tcPr>
            <w:tcW w:w="230" w:type="pct"/>
            <w:shd w:val="clear" w:color="auto" w:fill="auto"/>
            <w:vAlign w:val="center"/>
          </w:tcPr>
          <w:p w14:paraId="5FC90053">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2CD9D156">
            <w:pPr>
              <w:widowControl/>
              <w:adjustRightInd w:val="0"/>
              <w:snapToGrid w:val="0"/>
              <w:spacing w:line="260" w:lineRule="exact"/>
              <w:ind w:firstLine="0" w:firstLineChars="0"/>
              <w:textAlignment w:val="center"/>
              <w:rPr>
                <w:rFonts w:cs="宋体"/>
                <w:kern w:val="2"/>
                <w:sz w:val="21"/>
                <w:szCs w:val="16"/>
              </w:rPr>
            </w:pPr>
            <w:r>
              <w:rPr>
                <w:rFonts w:hint="eastAsia" w:cs="宋体"/>
                <w:sz w:val="21"/>
                <w:szCs w:val="16"/>
              </w:rPr>
              <w:t>部门（单位）中长期规划制定是否明确、且与部门职能相匹配</w:t>
            </w:r>
          </w:p>
        </w:tc>
        <w:tc>
          <w:tcPr>
            <w:tcW w:w="1181" w:type="pct"/>
            <w:shd w:val="clear" w:color="auto" w:fill="auto"/>
            <w:vAlign w:val="center"/>
          </w:tcPr>
          <w:p w14:paraId="4C69C66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1B7933E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考察部门是否制定了明确的中长期规划，包括总体目标、工作内容、时间进度等，部门规划是否涵盖了部门全部职能，并与部门职能相匹配。</w:t>
            </w:r>
          </w:p>
          <w:p w14:paraId="3E508E9B">
            <w:pPr>
              <w:widowControl/>
              <w:adjustRightInd w:val="0"/>
              <w:snapToGrid w:val="0"/>
              <w:spacing w:line="260" w:lineRule="exact"/>
              <w:ind w:firstLine="0" w:firstLineChars="0"/>
              <w:textAlignment w:val="center"/>
              <w:rPr>
                <w:rFonts w:cs="宋体"/>
                <w:kern w:val="2"/>
                <w:sz w:val="21"/>
                <w:szCs w:val="16"/>
              </w:rPr>
            </w:pPr>
            <w:r>
              <w:rPr>
                <w:rFonts w:hint="eastAsia" w:cs="宋体"/>
                <w:sz w:val="21"/>
                <w:szCs w:val="16"/>
              </w:rPr>
              <w:t>评分规则：以上要点执行情况分为达成、部分达成、未达成三档，分别按分值的100%-80%（含）、80%-60%（含）、60%-0%合理确定分值。</w:t>
            </w:r>
          </w:p>
        </w:tc>
        <w:tc>
          <w:tcPr>
            <w:tcW w:w="942" w:type="pct"/>
            <w:shd w:val="clear" w:color="auto" w:fill="auto"/>
            <w:vAlign w:val="center"/>
          </w:tcPr>
          <w:p w14:paraId="44486810">
            <w:pPr>
              <w:widowControl/>
              <w:adjustRightInd w:val="0"/>
              <w:snapToGrid w:val="0"/>
              <w:spacing w:line="260" w:lineRule="exact"/>
              <w:ind w:firstLine="0" w:firstLineChars="0"/>
              <w:textAlignment w:val="center"/>
              <w:rPr>
                <w:rFonts w:hint="eastAsia" w:eastAsia="仿宋" w:cs="宋体"/>
                <w:sz w:val="21"/>
                <w:szCs w:val="16"/>
                <w:lang w:val="en-US" w:eastAsia="zh-CN"/>
              </w:rPr>
            </w:pPr>
            <w:r>
              <w:rPr>
                <w:rFonts w:hint="eastAsia" w:cs="宋体"/>
                <w:sz w:val="21"/>
                <w:szCs w:val="16"/>
              </w:rPr>
              <w:t>部门制定了明确的中长期规划，包括总体目标和工作内容，部门规划涵盖部门全部职能，并与部门职能相匹配，达成</w:t>
            </w:r>
            <w:r>
              <w:rPr>
                <w:rFonts w:hint="eastAsia" w:cs="宋体"/>
                <w:sz w:val="21"/>
                <w:szCs w:val="16"/>
                <w:lang w:eastAsia="zh-CN"/>
              </w:rPr>
              <w:t>。</w:t>
            </w:r>
          </w:p>
          <w:p w14:paraId="1E785520">
            <w:pPr>
              <w:widowControl/>
              <w:adjustRightInd w:val="0"/>
              <w:snapToGrid w:val="0"/>
              <w:spacing w:line="260" w:lineRule="exact"/>
              <w:ind w:firstLine="0" w:firstLineChars="0"/>
              <w:textAlignment w:val="center"/>
              <w:rPr>
                <w:rFonts w:cs="宋体"/>
                <w:sz w:val="21"/>
                <w:szCs w:val="16"/>
              </w:rPr>
            </w:pPr>
          </w:p>
        </w:tc>
        <w:tc>
          <w:tcPr>
            <w:tcW w:w="259" w:type="pct"/>
            <w:shd w:val="clear" w:color="auto" w:fill="auto"/>
            <w:vAlign w:val="center"/>
          </w:tcPr>
          <w:p w14:paraId="65F475AB">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1.00</w:t>
            </w:r>
          </w:p>
        </w:tc>
      </w:tr>
      <w:tr w14:paraId="3580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276" w:type="pct"/>
            <w:vMerge w:val="continue"/>
            <w:shd w:val="clear" w:color="auto" w:fill="auto"/>
            <w:vAlign w:val="center"/>
          </w:tcPr>
          <w:p w14:paraId="790C435F">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DA31C81">
            <w:pPr>
              <w:widowControl/>
              <w:adjustRightInd w:val="0"/>
              <w:snapToGrid w:val="0"/>
              <w:spacing w:line="260" w:lineRule="exact"/>
              <w:ind w:firstLine="0" w:firstLineChars="0"/>
              <w:jc w:val="center"/>
              <w:textAlignment w:val="center"/>
              <w:rPr>
                <w:rFonts w:cs="宋体"/>
                <w:kern w:val="2"/>
                <w:sz w:val="21"/>
                <w:szCs w:val="16"/>
              </w:rPr>
            </w:pPr>
          </w:p>
        </w:tc>
        <w:tc>
          <w:tcPr>
            <w:tcW w:w="400" w:type="pct"/>
            <w:shd w:val="clear" w:color="auto" w:fill="auto"/>
            <w:vAlign w:val="center"/>
          </w:tcPr>
          <w:p w14:paraId="65F1902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A</w:t>
            </w:r>
            <w:r>
              <w:rPr>
                <w:rFonts w:hint="eastAsia" w:cs="宋体"/>
                <w:sz w:val="21"/>
                <w:szCs w:val="16"/>
                <w:lang w:val="en-US" w:eastAsia="zh-CN"/>
              </w:rPr>
              <w:t>12</w:t>
            </w:r>
            <w:r>
              <w:rPr>
                <w:rFonts w:hint="eastAsia" w:cs="宋体"/>
                <w:sz w:val="21"/>
                <w:szCs w:val="16"/>
              </w:rPr>
              <w:t>工作计划制定健全性</w:t>
            </w:r>
          </w:p>
        </w:tc>
        <w:tc>
          <w:tcPr>
            <w:tcW w:w="379" w:type="pct"/>
            <w:shd w:val="clear" w:color="auto" w:fill="auto"/>
            <w:vAlign w:val="center"/>
          </w:tcPr>
          <w:p w14:paraId="1926AD6C">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健全</w:t>
            </w:r>
          </w:p>
        </w:tc>
        <w:tc>
          <w:tcPr>
            <w:tcW w:w="230" w:type="pct"/>
            <w:shd w:val="clear" w:color="auto" w:fill="auto"/>
            <w:vAlign w:val="center"/>
          </w:tcPr>
          <w:p w14:paraId="72C43FFE">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7A18602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年度工作计划制定是否明确、具体、可操作，且与部门职能和中长期规划相匹配。</w:t>
            </w:r>
          </w:p>
        </w:tc>
        <w:tc>
          <w:tcPr>
            <w:tcW w:w="1181" w:type="pct"/>
            <w:shd w:val="clear" w:color="auto" w:fill="auto"/>
            <w:vAlign w:val="center"/>
          </w:tcPr>
          <w:p w14:paraId="07CE959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0CD89A9D">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lang w:val="en-US" w:eastAsia="zh-CN"/>
              </w:rPr>
              <w:t>1</w:t>
            </w:r>
            <w:r>
              <w:rPr>
                <w:rFonts w:hint="eastAsia" w:cs="宋体"/>
                <w:sz w:val="21"/>
                <w:szCs w:val="16"/>
              </w:rPr>
              <w:t>.考察部门是否具有明确的年度工作计划，包括总体目标、实施内容、时间、资金、人员等，年度工作计划是否与部门中长期战略相衔接。</w:t>
            </w:r>
          </w:p>
          <w:p w14:paraId="3BABE5EF">
            <w:pPr>
              <w:widowControl/>
              <w:adjustRightInd w:val="0"/>
              <w:snapToGrid w:val="0"/>
              <w:spacing w:line="260" w:lineRule="exact"/>
              <w:ind w:firstLine="0" w:firstLineChars="0"/>
              <w:textAlignment w:val="center"/>
              <w:rPr>
                <w:rFonts w:cs="宋体"/>
                <w:sz w:val="21"/>
                <w:szCs w:val="16"/>
              </w:rPr>
            </w:pPr>
            <w:r>
              <w:rPr>
                <w:rFonts w:hint="eastAsia" w:cs="宋体"/>
                <w:sz w:val="21"/>
                <w:szCs w:val="16"/>
                <w:lang w:val="en-US" w:eastAsia="zh-CN"/>
              </w:rPr>
              <w:t>2</w:t>
            </w:r>
            <w:r>
              <w:rPr>
                <w:rFonts w:hint="eastAsia" w:cs="宋体"/>
                <w:sz w:val="21"/>
                <w:szCs w:val="16"/>
              </w:rPr>
              <w:t>.计划、目标是否与社会需求相匹配。</w:t>
            </w:r>
            <w:r>
              <w:rPr>
                <w:rFonts w:hint="eastAsia" w:cs="宋体"/>
                <w:sz w:val="21"/>
                <w:szCs w:val="16"/>
              </w:rPr>
              <w:br w:type="textWrapping"/>
            </w:r>
            <w:r>
              <w:rPr>
                <w:rFonts w:hint="eastAsia" w:cs="宋体"/>
                <w:sz w:val="21"/>
                <w:szCs w:val="16"/>
              </w:rPr>
              <w:t>评分规则：以上评价要点各占1/</w:t>
            </w:r>
            <w:r>
              <w:rPr>
                <w:rFonts w:hint="eastAsia" w:cs="宋体"/>
                <w:sz w:val="21"/>
                <w:szCs w:val="16"/>
                <w:lang w:val="en-US" w:eastAsia="zh-CN"/>
              </w:rPr>
              <w:t>2</w:t>
            </w:r>
            <w:r>
              <w:rPr>
                <w:rFonts w:hint="eastAsia" w:cs="宋体"/>
                <w:sz w:val="21"/>
                <w:szCs w:val="16"/>
              </w:rPr>
              <w:t>权重，每个要点执行情况分为达成、部分达成、未达成三档，分别按分值的100%-80%（含）、80%-60%（含）、60%-0%合理确定分值。</w:t>
            </w:r>
          </w:p>
        </w:tc>
        <w:tc>
          <w:tcPr>
            <w:tcW w:w="942" w:type="pct"/>
            <w:shd w:val="clear" w:color="auto" w:fill="auto"/>
            <w:vAlign w:val="center"/>
          </w:tcPr>
          <w:p w14:paraId="721AFBE7">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1部门具有明确的年度工作计划，包括总体目标、实施内容，年度工作计划与部门中长期战略相衔接，达成；</w:t>
            </w:r>
          </w:p>
          <w:p w14:paraId="69269B40">
            <w:pPr>
              <w:widowControl/>
              <w:adjustRightInd w:val="0"/>
              <w:snapToGrid w:val="0"/>
              <w:spacing w:line="260" w:lineRule="exact"/>
              <w:ind w:firstLine="0" w:firstLineChars="0"/>
              <w:textAlignment w:val="center"/>
              <w:rPr>
                <w:rFonts w:cs="宋体"/>
                <w:sz w:val="21"/>
                <w:szCs w:val="16"/>
              </w:rPr>
            </w:pPr>
            <w:r>
              <w:rPr>
                <w:rFonts w:hint="eastAsia" w:cs="宋体"/>
                <w:sz w:val="21"/>
                <w:szCs w:val="16"/>
                <w:lang w:val="en-US" w:eastAsia="zh-CN"/>
              </w:rPr>
              <w:t>2.</w:t>
            </w:r>
            <w:r>
              <w:rPr>
                <w:rFonts w:hint="eastAsia" w:cs="宋体"/>
                <w:sz w:val="21"/>
                <w:szCs w:val="16"/>
              </w:rPr>
              <w:t>计划、目标与社会需求相匹配，达成。</w:t>
            </w:r>
          </w:p>
        </w:tc>
        <w:tc>
          <w:tcPr>
            <w:tcW w:w="259" w:type="pct"/>
            <w:shd w:val="clear" w:color="auto" w:fill="auto"/>
            <w:vAlign w:val="center"/>
          </w:tcPr>
          <w:p w14:paraId="04A6E58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1.00</w:t>
            </w:r>
          </w:p>
        </w:tc>
      </w:tr>
      <w:tr w14:paraId="1FB5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76" w:type="pct"/>
            <w:vMerge w:val="continue"/>
            <w:shd w:val="clear" w:color="auto" w:fill="auto"/>
            <w:vAlign w:val="center"/>
          </w:tcPr>
          <w:p w14:paraId="6B37E211">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1EE1772E">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A</w:t>
            </w:r>
            <w:r>
              <w:rPr>
                <w:rFonts w:hint="eastAsia" w:cs="宋体"/>
                <w:sz w:val="21"/>
                <w:szCs w:val="16"/>
                <w:lang w:val="en-US" w:eastAsia="zh-CN"/>
              </w:rPr>
              <w:t>2</w:t>
            </w:r>
            <w:r>
              <w:rPr>
                <w:rFonts w:hint="eastAsia" w:cs="宋体"/>
                <w:sz w:val="21"/>
                <w:szCs w:val="16"/>
              </w:rPr>
              <w:t>目标设定（2）</w:t>
            </w:r>
          </w:p>
        </w:tc>
        <w:tc>
          <w:tcPr>
            <w:tcW w:w="400" w:type="pct"/>
            <w:shd w:val="clear" w:color="auto" w:fill="auto"/>
            <w:vAlign w:val="center"/>
          </w:tcPr>
          <w:p w14:paraId="2C8265DC">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A</w:t>
            </w:r>
            <w:r>
              <w:rPr>
                <w:rFonts w:hint="eastAsia" w:cs="宋体"/>
                <w:sz w:val="21"/>
                <w:szCs w:val="16"/>
                <w:lang w:val="en-US" w:eastAsia="zh-CN"/>
              </w:rPr>
              <w:t>21</w:t>
            </w:r>
            <w:r>
              <w:rPr>
                <w:rFonts w:hint="eastAsia" w:cs="宋体"/>
                <w:sz w:val="21"/>
                <w:szCs w:val="16"/>
              </w:rPr>
              <w:t>绩效指标明确性</w:t>
            </w:r>
          </w:p>
        </w:tc>
        <w:tc>
          <w:tcPr>
            <w:tcW w:w="379" w:type="pct"/>
            <w:shd w:val="clear" w:color="auto" w:fill="auto"/>
            <w:vAlign w:val="center"/>
          </w:tcPr>
          <w:p w14:paraId="66A6BA5E">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明确</w:t>
            </w:r>
          </w:p>
        </w:tc>
        <w:tc>
          <w:tcPr>
            <w:tcW w:w="230" w:type="pct"/>
            <w:shd w:val="clear" w:color="auto" w:fill="auto"/>
            <w:vAlign w:val="center"/>
          </w:tcPr>
          <w:p w14:paraId="2BF3453D">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0E1BA672">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部门所设立的整体绩效指标是否清晰、细化、可衡量等，用以反映和评价部门绩效目标设置的明细化情况。</w:t>
            </w:r>
          </w:p>
        </w:tc>
        <w:tc>
          <w:tcPr>
            <w:tcW w:w="1181" w:type="pct"/>
            <w:shd w:val="clear" w:color="auto" w:fill="auto"/>
            <w:vAlign w:val="center"/>
          </w:tcPr>
          <w:p w14:paraId="0B133FAA">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20E0AF9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1.是否将部门整体预算绩效目标细化分解为具体的重点工作任务；</w:t>
            </w:r>
          </w:p>
          <w:p w14:paraId="031F4AA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2.部门整体及项目的绩效指标是否清晰，指标值是否量化、可衡量；</w:t>
            </w:r>
          </w:p>
          <w:p w14:paraId="7E4E4FD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3.是否与年度重点工作任务数相对应，并突出核心绩效指标。</w:t>
            </w:r>
          </w:p>
          <w:p w14:paraId="7BEBEFE4">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评分规则：以上评价要点各占1/3分值，每个要点执行情况分为达成、部分达成、未达成三档，分别按分值的100%-80%（含）、80%-60%（含）、60%-0%合理确定分值。</w:t>
            </w:r>
          </w:p>
        </w:tc>
        <w:tc>
          <w:tcPr>
            <w:tcW w:w="942" w:type="pct"/>
            <w:shd w:val="clear" w:color="auto" w:fill="auto"/>
            <w:vAlign w:val="center"/>
          </w:tcPr>
          <w:p w14:paraId="73068D1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1.有将部门整体预算绩效目标细化分解为具体的重点工作任务，达成；</w:t>
            </w:r>
          </w:p>
          <w:p w14:paraId="657720B8">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2.部门整体及项目的绩效指标清晰，指标值量化、可衡量，达成；</w:t>
            </w:r>
          </w:p>
          <w:p w14:paraId="2EF31B76">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3.与年度重点工作任务数相对应，并突出核心绩效指标，达成。</w:t>
            </w:r>
          </w:p>
        </w:tc>
        <w:tc>
          <w:tcPr>
            <w:tcW w:w="259" w:type="pct"/>
            <w:shd w:val="clear" w:color="auto" w:fill="auto"/>
            <w:vAlign w:val="center"/>
          </w:tcPr>
          <w:p w14:paraId="01D22DD0">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140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517F341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05DFAD8C">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3F9D7F29">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A</w:t>
            </w:r>
            <w:r>
              <w:rPr>
                <w:rFonts w:hint="eastAsia" w:cs="宋体"/>
                <w:sz w:val="21"/>
                <w:szCs w:val="16"/>
                <w:lang w:val="en-US" w:eastAsia="zh-CN"/>
              </w:rPr>
              <w:t>22</w:t>
            </w:r>
            <w:r>
              <w:rPr>
                <w:rFonts w:hint="eastAsia" w:cs="宋体"/>
                <w:sz w:val="21"/>
                <w:szCs w:val="16"/>
              </w:rPr>
              <w:t>绩效目标合理性</w:t>
            </w:r>
          </w:p>
        </w:tc>
        <w:tc>
          <w:tcPr>
            <w:tcW w:w="379" w:type="pct"/>
            <w:shd w:val="clear" w:color="auto" w:fill="auto"/>
            <w:vAlign w:val="center"/>
          </w:tcPr>
          <w:p w14:paraId="17D67CCC">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合理</w:t>
            </w:r>
          </w:p>
        </w:tc>
        <w:tc>
          <w:tcPr>
            <w:tcW w:w="230" w:type="pct"/>
            <w:shd w:val="clear" w:color="auto" w:fill="auto"/>
            <w:vAlign w:val="center"/>
          </w:tcPr>
          <w:p w14:paraId="3C197A46">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1BC19A6A">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部门所设立的整体绩效目标依据是否充分，是否符合客观实际。用以反映和评价部门整体绩效目标与部门履职、年度工作任务的相符性情况。</w:t>
            </w:r>
          </w:p>
        </w:tc>
        <w:tc>
          <w:tcPr>
            <w:tcW w:w="1181" w:type="pct"/>
            <w:shd w:val="clear" w:color="auto" w:fill="auto"/>
            <w:vAlign w:val="center"/>
          </w:tcPr>
          <w:p w14:paraId="51E2062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73D22A5D">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1.是否符合国家法律法规、国民经济和社会发展总体规划、部门“三定”方案确定的职责；</w:t>
            </w:r>
          </w:p>
          <w:p w14:paraId="22C8AAC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2.是否符合部门制定的中长期规划和年度工作计划；</w:t>
            </w:r>
          </w:p>
          <w:p w14:paraId="4F6045B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3.是否与本年度部门预算资金相匹配。</w:t>
            </w:r>
          </w:p>
          <w:p w14:paraId="14E4400E">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评分规则：以上评价要点各占1/3分值，每个要点执行情况分为达成、部分达成、未达成三档，分别按分值的100%-80%（含）、80%-60%（含）、60%-0%合理确定分值。</w:t>
            </w:r>
          </w:p>
        </w:tc>
        <w:tc>
          <w:tcPr>
            <w:tcW w:w="942" w:type="pct"/>
            <w:shd w:val="clear" w:color="auto" w:fill="auto"/>
            <w:vAlign w:val="center"/>
          </w:tcPr>
          <w:p w14:paraId="41E9FFA8">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1.符合国家法律法规、国民经济和社会发展总体规划、部门“三定”方案确定的职责，达成；</w:t>
            </w:r>
          </w:p>
          <w:p w14:paraId="747F5CC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2.符合部门制定的中长期规划和年度工作计划，达成；</w:t>
            </w:r>
          </w:p>
          <w:p w14:paraId="07F26771">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3.与本年度部门预算资金相匹配，达成。</w:t>
            </w:r>
          </w:p>
        </w:tc>
        <w:tc>
          <w:tcPr>
            <w:tcW w:w="259" w:type="pct"/>
            <w:shd w:val="clear" w:color="auto" w:fill="auto"/>
            <w:vAlign w:val="center"/>
          </w:tcPr>
          <w:p w14:paraId="7521180D">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1.00</w:t>
            </w:r>
          </w:p>
        </w:tc>
      </w:tr>
      <w:tr w14:paraId="3D3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76" w:type="pct"/>
            <w:vMerge w:val="continue"/>
            <w:shd w:val="clear" w:color="auto" w:fill="auto"/>
            <w:vAlign w:val="center"/>
          </w:tcPr>
          <w:p w14:paraId="1C4FA6FA">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34532037">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A</w:t>
            </w:r>
            <w:r>
              <w:rPr>
                <w:rFonts w:hint="eastAsia" w:cs="宋体"/>
                <w:sz w:val="21"/>
                <w:szCs w:val="16"/>
                <w:lang w:val="en-US" w:eastAsia="zh-CN"/>
              </w:rPr>
              <w:t>3</w:t>
            </w:r>
            <w:r>
              <w:rPr>
                <w:rFonts w:hint="eastAsia" w:cs="宋体"/>
                <w:sz w:val="21"/>
                <w:szCs w:val="16"/>
              </w:rPr>
              <w:t>预算编制（2）</w:t>
            </w:r>
          </w:p>
        </w:tc>
        <w:tc>
          <w:tcPr>
            <w:tcW w:w="400" w:type="pct"/>
            <w:shd w:val="clear" w:color="auto" w:fill="auto"/>
            <w:vAlign w:val="center"/>
          </w:tcPr>
          <w:p w14:paraId="7A4F7F38">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A</w:t>
            </w:r>
            <w:r>
              <w:rPr>
                <w:rFonts w:hint="eastAsia" w:cs="宋体"/>
                <w:sz w:val="21"/>
                <w:szCs w:val="16"/>
                <w:lang w:val="en-US" w:eastAsia="zh-CN"/>
              </w:rPr>
              <w:t>3</w:t>
            </w:r>
            <w:r>
              <w:rPr>
                <w:rFonts w:hint="eastAsia" w:cs="宋体"/>
                <w:sz w:val="21"/>
                <w:szCs w:val="16"/>
              </w:rPr>
              <w:t>1预算编制科学性</w:t>
            </w:r>
          </w:p>
        </w:tc>
        <w:tc>
          <w:tcPr>
            <w:tcW w:w="379" w:type="pct"/>
            <w:shd w:val="clear" w:color="auto" w:fill="auto"/>
            <w:vAlign w:val="center"/>
          </w:tcPr>
          <w:p w14:paraId="19EF6DE6">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科学</w:t>
            </w:r>
          </w:p>
        </w:tc>
        <w:tc>
          <w:tcPr>
            <w:tcW w:w="230" w:type="pct"/>
            <w:shd w:val="clear" w:color="auto" w:fill="auto"/>
            <w:vAlign w:val="center"/>
          </w:tcPr>
          <w:p w14:paraId="050419DC">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50AA731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部门预算编制是否经过科学论证、有明确标准，资金分配是否公平合理、资金额度与年度目标是否相适应，有无重复交叉，重点支出是否有保障，用以反映和考核部门整体预算编制的科学性、合理性情况</w:t>
            </w:r>
          </w:p>
        </w:tc>
        <w:tc>
          <w:tcPr>
            <w:tcW w:w="1181" w:type="pct"/>
            <w:shd w:val="clear" w:color="auto" w:fill="auto"/>
            <w:vAlign w:val="center"/>
          </w:tcPr>
          <w:p w14:paraId="37D327D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3F292B1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1.预算编制的基本信息内容是否真实、完整、准确，基本支出预算是否按照规定标准编制；项目预算测算依据是否充分，资金分配是否公平合理，是否与年度目标相匹配；</w:t>
            </w:r>
          </w:p>
          <w:p w14:paraId="01CCCDA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2.重点项目预算是否有保障；部门内容项目之间是否存在重复交叉，与其他部门项目是否存在重复交叉。</w:t>
            </w:r>
          </w:p>
          <w:p w14:paraId="0B9A1879">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评分规则：以上评价要点各占1/2权重，每个要点执行情况分为达成、部分达成、未达成三档，按100%-80%（含）、80%-60%（含）、60%-0%合理评分。</w:t>
            </w:r>
          </w:p>
        </w:tc>
        <w:tc>
          <w:tcPr>
            <w:tcW w:w="942" w:type="pct"/>
            <w:shd w:val="clear" w:color="auto" w:fill="auto"/>
            <w:vAlign w:val="center"/>
          </w:tcPr>
          <w:p w14:paraId="700B118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1.预算编制的基本信息内容真实、完整、准确，基本支出预算按照规定标准编制；项目预算测算依据充分，资金分配公平合理，与年度目标相匹配，达成；</w:t>
            </w:r>
          </w:p>
          <w:p w14:paraId="6B0B440F">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2.重点项目预算保障充足；部门内容项目之间不存在重复交叉，与其他部门项目不存在重复交叉，达成。</w:t>
            </w:r>
          </w:p>
        </w:tc>
        <w:tc>
          <w:tcPr>
            <w:tcW w:w="259" w:type="pct"/>
            <w:shd w:val="clear" w:color="auto" w:fill="auto"/>
            <w:vAlign w:val="center"/>
          </w:tcPr>
          <w:p w14:paraId="26F95C3E">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364B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76" w:type="pct"/>
            <w:vMerge w:val="continue"/>
            <w:shd w:val="clear" w:color="auto" w:fill="auto"/>
            <w:vAlign w:val="center"/>
          </w:tcPr>
          <w:p w14:paraId="080ECF2A">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092BE345">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088BEBC0">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A</w:t>
            </w:r>
            <w:r>
              <w:rPr>
                <w:rFonts w:hint="eastAsia" w:cs="宋体"/>
                <w:sz w:val="21"/>
                <w:szCs w:val="16"/>
                <w:lang w:val="en-US" w:eastAsia="zh-CN"/>
              </w:rPr>
              <w:t>3</w:t>
            </w:r>
            <w:r>
              <w:rPr>
                <w:rFonts w:hint="eastAsia" w:cs="宋体"/>
                <w:sz w:val="21"/>
                <w:szCs w:val="16"/>
              </w:rPr>
              <w:t>2预算编制规范性</w:t>
            </w:r>
          </w:p>
        </w:tc>
        <w:tc>
          <w:tcPr>
            <w:tcW w:w="379" w:type="pct"/>
            <w:shd w:val="clear" w:color="auto" w:fill="auto"/>
            <w:vAlign w:val="center"/>
          </w:tcPr>
          <w:p w14:paraId="60D79A83">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规范</w:t>
            </w:r>
          </w:p>
        </w:tc>
        <w:tc>
          <w:tcPr>
            <w:tcW w:w="230" w:type="pct"/>
            <w:shd w:val="clear" w:color="auto" w:fill="auto"/>
            <w:vAlign w:val="center"/>
          </w:tcPr>
          <w:p w14:paraId="3186B908">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7A5C0D6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部门整体预算编制是否严格按照时间和流程要求执行，材料是否符合要求，用以反映和考核部门整体预算编制的规范化情况。</w:t>
            </w:r>
          </w:p>
        </w:tc>
        <w:tc>
          <w:tcPr>
            <w:tcW w:w="1181" w:type="pct"/>
            <w:shd w:val="clear" w:color="auto" w:fill="auto"/>
            <w:vAlign w:val="center"/>
          </w:tcPr>
          <w:p w14:paraId="3FDC98D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r>
              <w:rPr>
                <w:rFonts w:hint="eastAsia" w:cs="宋体"/>
                <w:sz w:val="21"/>
                <w:szCs w:val="16"/>
              </w:rPr>
              <w:br w:type="textWrapping"/>
            </w:r>
            <w:r>
              <w:rPr>
                <w:rFonts w:hint="eastAsia" w:cs="宋体"/>
                <w:sz w:val="21"/>
                <w:szCs w:val="16"/>
              </w:rPr>
              <w:t>1.部门是否完整规范，严格按照规定时间和流程编制预算；</w:t>
            </w:r>
          </w:p>
          <w:p w14:paraId="1AD69BA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2.各项目设立依据是否充分，是否按照规定的程序申请设立，事前是否经过必要的可行性研究、专家论证、风险评估、绩效评估、集体决策等；</w:t>
            </w:r>
          </w:p>
          <w:p w14:paraId="76D0B66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3.审批文件、材料是否符合相关要求。</w:t>
            </w:r>
            <w:r>
              <w:rPr>
                <w:rFonts w:hint="eastAsia" w:cs="宋体"/>
                <w:sz w:val="21"/>
                <w:szCs w:val="16"/>
              </w:rPr>
              <w:br w:type="textWrapping"/>
            </w:r>
            <w:r>
              <w:rPr>
                <w:rFonts w:hint="eastAsia" w:cs="宋体"/>
                <w:sz w:val="21"/>
                <w:szCs w:val="16"/>
              </w:rPr>
              <w:t>评分规则：以上评价要点各占1/3权重，每个要点执行情况分为达成、部分达成、未达成三档，按100%-80%（含）、80%-60%（含）、60%-0%合理评分。</w:t>
            </w:r>
          </w:p>
        </w:tc>
        <w:tc>
          <w:tcPr>
            <w:tcW w:w="942" w:type="pct"/>
            <w:shd w:val="clear" w:color="auto" w:fill="auto"/>
            <w:vAlign w:val="center"/>
          </w:tcPr>
          <w:p w14:paraId="3D2DEE0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1.部门预算编制完整规范，严格按照规定时间和流程编制预算，达成；</w:t>
            </w:r>
          </w:p>
          <w:p w14:paraId="5DC1E82D">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2.各项目设立依据充分，按照规定的程序申请设立，事前经过必要的可行性研究、专家论证、风险评估、绩效评估、集体决策等，达成；</w:t>
            </w:r>
          </w:p>
          <w:p w14:paraId="0A48E54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3.审批文件、材料符合相关要求，达成。</w:t>
            </w:r>
          </w:p>
        </w:tc>
        <w:tc>
          <w:tcPr>
            <w:tcW w:w="259" w:type="pct"/>
            <w:shd w:val="clear" w:color="auto" w:fill="auto"/>
            <w:vAlign w:val="center"/>
          </w:tcPr>
          <w:p w14:paraId="669D8EC6">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503A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6" w:type="pct"/>
            <w:vMerge w:val="restart"/>
            <w:shd w:val="clear" w:color="auto" w:fill="auto"/>
            <w:vAlign w:val="center"/>
          </w:tcPr>
          <w:p w14:paraId="3098C1A7">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B过程（</w:t>
            </w:r>
            <w:r>
              <w:rPr>
                <w:rFonts w:hint="eastAsia" w:cs="宋体"/>
                <w:sz w:val="21"/>
                <w:szCs w:val="16"/>
                <w:lang w:val="en-US" w:eastAsia="zh-CN"/>
              </w:rPr>
              <w:t>28</w:t>
            </w:r>
            <w:r>
              <w:rPr>
                <w:rFonts w:hint="eastAsia" w:cs="宋体"/>
                <w:sz w:val="21"/>
                <w:szCs w:val="16"/>
              </w:rPr>
              <w:t>）</w:t>
            </w:r>
          </w:p>
        </w:tc>
        <w:tc>
          <w:tcPr>
            <w:tcW w:w="551" w:type="pct"/>
            <w:vMerge w:val="restart"/>
            <w:shd w:val="clear" w:color="auto" w:fill="auto"/>
            <w:vAlign w:val="center"/>
          </w:tcPr>
          <w:p w14:paraId="40261354">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B1预算执行（</w:t>
            </w:r>
            <w:r>
              <w:rPr>
                <w:rFonts w:hint="eastAsia" w:cs="宋体"/>
                <w:sz w:val="21"/>
                <w:szCs w:val="16"/>
                <w:lang w:val="en-US" w:eastAsia="zh-CN"/>
              </w:rPr>
              <w:t>9</w:t>
            </w:r>
            <w:r>
              <w:rPr>
                <w:rFonts w:hint="eastAsia" w:cs="宋体"/>
                <w:sz w:val="21"/>
                <w:szCs w:val="16"/>
              </w:rPr>
              <w:t>）</w:t>
            </w:r>
          </w:p>
        </w:tc>
        <w:tc>
          <w:tcPr>
            <w:tcW w:w="400" w:type="pct"/>
            <w:shd w:val="clear" w:color="auto" w:fill="auto"/>
            <w:vAlign w:val="center"/>
          </w:tcPr>
          <w:p w14:paraId="268CAF5F">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1</w:t>
            </w:r>
            <w:r>
              <w:rPr>
                <w:rFonts w:hint="eastAsia" w:cs="宋体"/>
                <w:sz w:val="21"/>
                <w:szCs w:val="16"/>
              </w:rPr>
              <w:t>“三公经费”变动率</w:t>
            </w:r>
          </w:p>
        </w:tc>
        <w:tc>
          <w:tcPr>
            <w:tcW w:w="379" w:type="pct"/>
            <w:shd w:val="clear" w:color="auto" w:fill="auto"/>
            <w:vAlign w:val="center"/>
          </w:tcPr>
          <w:p w14:paraId="3306D39F">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≤0%</w:t>
            </w:r>
          </w:p>
        </w:tc>
        <w:tc>
          <w:tcPr>
            <w:tcW w:w="230" w:type="pct"/>
            <w:shd w:val="clear" w:color="auto" w:fill="auto"/>
            <w:vAlign w:val="center"/>
          </w:tcPr>
          <w:p w14:paraId="43878587">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0FC57C7B">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部门（单位）本年度“三公经费”预算数与上年度“三公经费”预算数的变动比率，用以反映和考核部门（单位）对控制重点行政成本的努力程度。</w:t>
            </w:r>
          </w:p>
        </w:tc>
        <w:tc>
          <w:tcPr>
            <w:tcW w:w="1181" w:type="pct"/>
            <w:shd w:val="clear" w:color="auto" w:fill="auto"/>
            <w:vAlign w:val="center"/>
          </w:tcPr>
          <w:p w14:paraId="30B77DA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“三公经费”变动率=[（本年度“三公经费”总额-上年度“三公经费”总额）/上年度“三公经费”总额]×100%。“三公经费”：年度预算安排的因公出国（境）费、公务车辆购置及运行费和公务招待费。</w:t>
            </w:r>
          </w:p>
          <w:p w14:paraId="5C3EA3CA">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评分规则：1.比率≤0%,得满分；2.比率&gt;0%,不得分。</w:t>
            </w:r>
          </w:p>
        </w:tc>
        <w:tc>
          <w:tcPr>
            <w:tcW w:w="942" w:type="pct"/>
            <w:shd w:val="clear" w:color="auto" w:fill="auto"/>
            <w:vAlign w:val="center"/>
          </w:tcPr>
          <w:p w14:paraId="0556BC92">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“三公经费”变动率=[（本年度“三公经费”总额2.73万元-上年度“三公经费”总额2.03万元）/上年度“三公经费”总额2.03万元]×100%=33.99%。比率&gt;0%,不得分。</w:t>
            </w:r>
          </w:p>
        </w:tc>
        <w:tc>
          <w:tcPr>
            <w:tcW w:w="259" w:type="pct"/>
            <w:shd w:val="clear" w:color="auto" w:fill="auto"/>
            <w:vAlign w:val="center"/>
          </w:tcPr>
          <w:p w14:paraId="04907767">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0.00</w:t>
            </w:r>
          </w:p>
        </w:tc>
      </w:tr>
      <w:tr w14:paraId="0579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6" w:type="pct"/>
            <w:vMerge w:val="continue"/>
            <w:shd w:val="clear" w:color="auto" w:fill="auto"/>
            <w:vAlign w:val="center"/>
          </w:tcPr>
          <w:p w14:paraId="5BF23D26">
            <w:pPr>
              <w:widowControl/>
              <w:adjustRightInd w:val="0"/>
              <w:snapToGrid w:val="0"/>
              <w:spacing w:line="260" w:lineRule="exact"/>
              <w:ind w:firstLine="0" w:firstLineChars="0"/>
              <w:jc w:val="center"/>
              <w:textAlignment w:val="center"/>
              <w:rPr>
                <w:rFonts w:hint="eastAsia" w:cs="宋体"/>
                <w:sz w:val="21"/>
                <w:szCs w:val="16"/>
              </w:rPr>
            </w:pPr>
          </w:p>
        </w:tc>
        <w:tc>
          <w:tcPr>
            <w:tcW w:w="551" w:type="pct"/>
            <w:vMerge w:val="continue"/>
            <w:shd w:val="clear" w:color="auto" w:fill="auto"/>
            <w:vAlign w:val="center"/>
          </w:tcPr>
          <w:p w14:paraId="02876F9B">
            <w:pPr>
              <w:widowControl/>
              <w:adjustRightInd w:val="0"/>
              <w:snapToGrid w:val="0"/>
              <w:spacing w:line="260" w:lineRule="exact"/>
              <w:ind w:firstLine="0" w:firstLineChars="0"/>
              <w:jc w:val="center"/>
              <w:textAlignment w:val="center"/>
              <w:rPr>
                <w:rFonts w:hint="eastAsia" w:cs="宋体"/>
                <w:sz w:val="21"/>
                <w:szCs w:val="16"/>
              </w:rPr>
            </w:pPr>
          </w:p>
        </w:tc>
        <w:tc>
          <w:tcPr>
            <w:tcW w:w="400" w:type="pct"/>
            <w:shd w:val="clear" w:color="auto" w:fill="auto"/>
            <w:vAlign w:val="center"/>
          </w:tcPr>
          <w:p w14:paraId="71A3CC3B">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2</w:t>
            </w:r>
            <w:r>
              <w:rPr>
                <w:rFonts w:hint="eastAsia" w:cs="宋体"/>
                <w:sz w:val="21"/>
                <w:szCs w:val="16"/>
              </w:rPr>
              <w:t>公用经费控制率</w:t>
            </w:r>
          </w:p>
        </w:tc>
        <w:tc>
          <w:tcPr>
            <w:tcW w:w="379" w:type="pct"/>
            <w:shd w:val="clear" w:color="auto" w:fill="auto"/>
            <w:vAlign w:val="center"/>
          </w:tcPr>
          <w:p w14:paraId="0A3BCE41">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416B58FD">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430E998E">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部门（单位）本年度实际支出的公用经费总额与预算安排的公用经费总额的比率，用以反映和考核部门（单位）对机构运转成本的实际控制程度。</w:t>
            </w:r>
          </w:p>
        </w:tc>
        <w:tc>
          <w:tcPr>
            <w:tcW w:w="1181" w:type="pct"/>
            <w:shd w:val="clear" w:color="auto" w:fill="auto"/>
            <w:vAlign w:val="center"/>
          </w:tcPr>
          <w:p w14:paraId="4217391D">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公用经费控制率=（实际支出公用经费总额/预算安排公用经费总额）×100%。</w:t>
            </w:r>
          </w:p>
          <w:p w14:paraId="3E3D0587">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评分规则：1.比率≤100%,得满分；2.比率&gt;100%,不得分。</w:t>
            </w:r>
          </w:p>
        </w:tc>
        <w:tc>
          <w:tcPr>
            <w:tcW w:w="942" w:type="pct"/>
            <w:shd w:val="clear" w:color="auto" w:fill="auto"/>
            <w:vAlign w:val="center"/>
          </w:tcPr>
          <w:p w14:paraId="42CAC280">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公用经费控制率=（实际支出公用经费总额131.35万元/预算安排公用经费总额136.69万元）×100%=96.09 %。</w:t>
            </w:r>
          </w:p>
        </w:tc>
        <w:tc>
          <w:tcPr>
            <w:tcW w:w="259" w:type="pct"/>
            <w:shd w:val="clear" w:color="auto" w:fill="auto"/>
            <w:vAlign w:val="center"/>
          </w:tcPr>
          <w:p w14:paraId="3062ACA6">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7F1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76" w:type="pct"/>
            <w:vMerge w:val="continue"/>
            <w:shd w:val="clear" w:color="auto" w:fill="auto"/>
            <w:vAlign w:val="center"/>
          </w:tcPr>
          <w:p w14:paraId="407211AD">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E5A275E">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4B100FD2">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B1</w:t>
            </w:r>
            <w:r>
              <w:rPr>
                <w:rFonts w:hint="eastAsia" w:cs="宋体"/>
                <w:sz w:val="21"/>
                <w:szCs w:val="16"/>
                <w:lang w:val="en-US" w:eastAsia="zh-CN"/>
              </w:rPr>
              <w:t>3</w:t>
            </w:r>
            <w:r>
              <w:rPr>
                <w:rFonts w:hint="eastAsia" w:cs="宋体"/>
                <w:sz w:val="21"/>
                <w:szCs w:val="16"/>
              </w:rPr>
              <w:t>支付进度符合率</w:t>
            </w:r>
          </w:p>
        </w:tc>
        <w:tc>
          <w:tcPr>
            <w:tcW w:w="379" w:type="pct"/>
            <w:shd w:val="clear" w:color="auto" w:fill="auto"/>
            <w:vAlign w:val="center"/>
          </w:tcPr>
          <w:p w14:paraId="774F4CA1">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≥100%</w:t>
            </w:r>
          </w:p>
        </w:tc>
        <w:tc>
          <w:tcPr>
            <w:tcW w:w="230" w:type="pct"/>
            <w:shd w:val="clear" w:color="auto" w:fill="auto"/>
            <w:vAlign w:val="center"/>
          </w:tcPr>
          <w:p w14:paraId="448BB5B4">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209788E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部门（单位）实际支付进度与既定支付进度的比率，用以反映和考核部门（单位）预算执行的及时性和均衡性程度</w:t>
            </w:r>
          </w:p>
        </w:tc>
        <w:tc>
          <w:tcPr>
            <w:tcW w:w="1181" w:type="pct"/>
            <w:shd w:val="clear" w:color="auto" w:fill="auto"/>
            <w:vAlign w:val="center"/>
          </w:tcPr>
          <w:p w14:paraId="289E0B3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支付进度符合率=（实际支付进度/计划支付进度）×100%。实际支付进度：部门在某一时点的支出数与年度预算数的比率。计划支付进度：由部门在申报部门整体绩效目标时确定的支付进度（比率）。</w:t>
            </w:r>
          </w:p>
          <w:p w14:paraId="492FDCC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评分规则：1.比率≥100%,得满分；2.比率&lt;100%,每减少1%,扣2%的权重分，扣完为止。</w:t>
            </w:r>
          </w:p>
        </w:tc>
        <w:tc>
          <w:tcPr>
            <w:tcW w:w="942" w:type="pct"/>
            <w:shd w:val="clear" w:color="auto" w:fill="auto"/>
            <w:vAlign w:val="center"/>
          </w:tcPr>
          <w:p w14:paraId="56AB7072">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支付进度符合率=（实际支付进度2950.73万元/计划支付进度2950.73万元）×100%=100.00%。</w:t>
            </w:r>
          </w:p>
        </w:tc>
        <w:tc>
          <w:tcPr>
            <w:tcW w:w="259" w:type="pct"/>
            <w:shd w:val="clear" w:color="auto" w:fill="auto"/>
            <w:vAlign w:val="center"/>
          </w:tcPr>
          <w:p w14:paraId="106AD891">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748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37FBB063">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AAA6CEB">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4A98A60B">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4</w:t>
            </w:r>
            <w:r>
              <w:rPr>
                <w:rFonts w:hint="eastAsia" w:cs="宋体"/>
                <w:sz w:val="21"/>
                <w:szCs w:val="16"/>
              </w:rPr>
              <w:t>政府采购执行率</w:t>
            </w:r>
          </w:p>
        </w:tc>
        <w:tc>
          <w:tcPr>
            <w:tcW w:w="379" w:type="pct"/>
            <w:shd w:val="clear" w:color="auto" w:fill="auto"/>
            <w:vAlign w:val="center"/>
          </w:tcPr>
          <w:p w14:paraId="39C1B8AD">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90%-100%</w:t>
            </w:r>
          </w:p>
        </w:tc>
        <w:tc>
          <w:tcPr>
            <w:tcW w:w="230" w:type="pct"/>
            <w:shd w:val="clear" w:color="auto" w:fill="auto"/>
            <w:vAlign w:val="center"/>
          </w:tcPr>
          <w:p w14:paraId="5809664B">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327C02C8">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部门（单位）本年度实际政府采购金额与年初政府采购预算的比率，用以反映和考核部门（单位）政府采购预算执行情况。</w:t>
            </w:r>
          </w:p>
        </w:tc>
        <w:tc>
          <w:tcPr>
            <w:tcW w:w="1181" w:type="pct"/>
            <w:shd w:val="clear" w:color="auto" w:fill="auto"/>
            <w:vAlign w:val="center"/>
          </w:tcPr>
          <w:p w14:paraId="3B59476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政府采购执行率=（实际政府采购金额/政府采购预算数）×100%；政府采购预算：采购机关根据事业发展计划和行政任务编制的、并经过规定程序批准的年度政府采购计划。</w:t>
            </w:r>
          </w:p>
          <w:p w14:paraId="22C3F54F">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评分规则：政府采购执行率在100%（含）-90%（含）之间得满分，否则每增加或减少1%,扣2%的权重分，扣完为止。</w:t>
            </w:r>
          </w:p>
        </w:tc>
        <w:tc>
          <w:tcPr>
            <w:tcW w:w="942" w:type="pct"/>
            <w:shd w:val="clear" w:color="auto" w:fill="auto"/>
            <w:vAlign w:val="center"/>
          </w:tcPr>
          <w:p w14:paraId="425C5B87">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政府采购执行率=（实际政府采购金额21.81万元/政府采购预算数32.7万元）×100%=66.7%，得0.33分。</w:t>
            </w:r>
          </w:p>
        </w:tc>
        <w:tc>
          <w:tcPr>
            <w:tcW w:w="259" w:type="pct"/>
            <w:shd w:val="clear" w:color="auto" w:fill="auto"/>
            <w:vAlign w:val="center"/>
          </w:tcPr>
          <w:p w14:paraId="317E8327">
            <w:pPr>
              <w:widowControl/>
              <w:adjustRightInd w:val="0"/>
              <w:snapToGrid w:val="0"/>
              <w:spacing w:line="260" w:lineRule="exact"/>
              <w:ind w:firstLine="0" w:firstLineChars="0"/>
              <w:jc w:val="center"/>
              <w:textAlignment w:val="center"/>
              <w:rPr>
                <w:rFonts w:ascii="Times New Roman" w:hAnsi="Times New Roman" w:eastAsia="仿宋" w:cs="宋体"/>
                <w:color w:val="000000"/>
                <w:sz w:val="21"/>
                <w:szCs w:val="16"/>
                <w:lang w:val="en-US" w:eastAsia="zh-CN" w:bidi="ar-SA"/>
              </w:rPr>
            </w:pPr>
            <w:r>
              <w:rPr>
                <w:rFonts w:hint="eastAsia" w:cs="宋体"/>
                <w:sz w:val="21"/>
                <w:szCs w:val="16"/>
              </w:rPr>
              <w:t>0.33</w:t>
            </w:r>
          </w:p>
        </w:tc>
      </w:tr>
      <w:tr w14:paraId="6BEF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76" w:type="pct"/>
            <w:vMerge w:val="continue"/>
            <w:shd w:val="clear" w:color="auto" w:fill="auto"/>
            <w:vAlign w:val="center"/>
          </w:tcPr>
          <w:p w14:paraId="742B7A74">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59FC650">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121F9AD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B1</w:t>
            </w:r>
            <w:r>
              <w:rPr>
                <w:rFonts w:hint="eastAsia" w:cs="宋体"/>
                <w:sz w:val="21"/>
                <w:szCs w:val="16"/>
                <w:lang w:val="en-US" w:eastAsia="zh-CN"/>
              </w:rPr>
              <w:t>5</w:t>
            </w:r>
            <w:r>
              <w:rPr>
                <w:rFonts w:hint="eastAsia" w:cs="宋体"/>
                <w:sz w:val="21"/>
                <w:szCs w:val="16"/>
              </w:rPr>
              <w:t>结转结余率</w:t>
            </w:r>
          </w:p>
        </w:tc>
        <w:tc>
          <w:tcPr>
            <w:tcW w:w="379" w:type="pct"/>
            <w:shd w:val="clear" w:color="auto" w:fill="auto"/>
            <w:vAlign w:val="center"/>
          </w:tcPr>
          <w:p w14:paraId="04D20E6C">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0%</w:t>
            </w:r>
          </w:p>
        </w:tc>
        <w:tc>
          <w:tcPr>
            <w:tcW w:w="230" w:type="pct"/>
            <w:shd w:val="clear" w:color="auto" w:fill="auto"/>
            <w:vAlign w:val="center"/>
          </w:tcPr>
          <w:p w14:paraId="0039D035">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55CEA96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部门（单位）本年度结转结余总额与调整预算数的比率，用以反映和考核部门（单位）对本年度结转结余资金的实际控制程度。</w:t>
            </w:r>
          </w:p>
        </w:tc>
        <w:tc>
          <w:tcPr>
            <w:tcW w:w="1181" w:type="pct"/>
            <w:shd w:val="clear" w:color="auto" w:fill="auto"/>
            <w:vAlign w:val="center"/>
          </w:tcPr>
          <w:p w14:paraId="1211BBD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结转结余率=结转结余总额/调整预算数×100%。结转结余总额：部门（单位）本年度的结转资金与结余资金之和（以决算数为准，“三公”经费未执行数和政府采购节约资金等视同已支出）。</w:t>
            </w:r>
          </w:p>
          <w:p w14:paraId="4A2C899D">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评分规则：1.比率=0%,得满分；2.10%≤比率&lt;0%,每增加1%,扣10%的权重分，扣完为止。</w:t>
            </w:r>
          </w:p>
        </w:tc>
        <w:tc>
          <w:tcPr>
            <w:tcW w:w="942" w:type="pct"/>
            <w:shd w:val="clear" w:color="auto" w:fill="auto"/>
            <w:vAlign w:val="center"/>
          </w:tcPr>
          <w:p w14:paraId="41C6B31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结转结余率=结转结余总额0.00万元/调整预算数2950.73万元×100%=0.00%，依据评分标准，得1分。</w:t>
            </w:r>
          </w:p>
        </w:tc>
        <w:tc>
          <w:tcPr>
            <w:tcW w:w="259" w:type="pct"/>
            <w:shd w:val="clear" w:color="auto" w:fill="auto"/>
            <w:vAlign w:val="center"/>
          </w:tcPr>
          <w:p w14:paraId="01EDF08E">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19C1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11F9639F">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C03C899">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18DF080D">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6</w:t>
            </w:r>
            <w:r>
              <w:rPr>
                <w:rFonts w:hint="eastAsia" w:ascii="Times New Roman" w:hAnsi="Times New Roman" w:eastAsia="仿宋" w:cs="宋体"/>
                <w:color w:val="000000"/>
                <w:sz w:val="21"/>
                <w:szCs w:val="16"/>
                <w:lang w:val="en-US" w:eastAsia="zh-CN" w:bidi="ar-SA"/>
              </w:rPr>
              <w:t>非税收入预算完成率</w:t>
            </w:r>
          </w:p>
        </w:tc>
        <w:tc>
          <w:tcPr>
            <w:tcW w:w="379" w:type="pct"/>
            <w:shd w:val="clear" w:color="auto" w:fill="auto"/>
            <w:vAlign w:val="center"/>
          </w:tcPr>
          <w:p w14:paraId="44772D5E">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ascii="Times New Roman" w:hAnsi="Times New Roman" w:eastAsia="仿宋" w:cs="宋体"/>
                <w:color w:val="000000"/>
                <w:kern w:val="2"/>
                <w:sz w:val="21"/>
                <w:szCs w:val="16"/>
                <w:lang w:val="en-US" w:eastAsia="zh-CN" w:bidi="ar-SA"/>
              </w:rPr>
              <w:t>≥100%</w:t>
            </w:r>
          </w:p>
        </w:tc>
        <w:tc>
          <w:tcPr>
            <w:tcW w:w="230" w:type="pct"/>
            <w:shd w:val="clear" w:color="auto" w:fill="auto"/>
            <w:vAlign w:val="center"/>
          </w:tcPr>
          <w:p w14:paraId="2849F3D3">
            <w:pPr>
              <w:widowControl/>
              <w:adjustRightInd w:val="0"/>
              <w:snapToGrid w:val="0"/>
              <w:spacing w:line="260" w:lineRule="exact"/>
              <w:ind w:firstLine="0" w:firstLineChars="0"/>
              <w:jc w:val="center"/>
              <w:textAlignment w:val="center"/>
              <w:rPr>
                <w:rFonts w:hint="default" w:ascii="Times New Roman" w:hAnsi="Times New Roman" w:eastAsia="仿宋" w:cs="宋体"/>
                <w:color w:val="000000"/>
                <w:kern w:val="2"/>
                <w:sz w:val="21"/>
                <w:szCs w:val="16"/>
                <w:lang w:val="en-US" w:eastAsia="zh-CN" w:bidi="ar-SA"/>
              </w:rPr>
            </w:pPr>
            <w:r>
              <w:rPr>
                <w:rFonts w:hint="eastAsia" w:cs="宋体"/>
                <w:color w:val="000000"/>
                <w:kern w:val="2"/>
                <w:sz w:val="21"/>
                <w:szCs w:val="16"/>
                <w:lang w:val="en-US" w:eastAsia="zh-CN" w:bidi="ar-SA"/>
              </w:rPr>
              <w:t>1</w:t>
            </w:r>
          </w:p>
        </w:tc>
        <w:tc>
          <w:tcPr>
            <w:tcW w:w="780" w:type="pct"/>
            <w:shd w:val="clear" w:color="auto" w:fill="auto"/>
            <w:vAlign w:val="center"/>
          </w:tcPr>
          <w:p w14:paraId="3217DC60">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部门（单位）本年度</w:t>
            </w:r>
            <w:r>
              <w:rPr>
                <w:rFonts w:hint="eastAsia" w:cs="宋体"/>
                <w:color w:val="000000"/>
                <w:sz w:val="21"/>
                <w:szCs w:val="16"/>
              </w:rPr>
              <w:t>对经批准的年度非税收入预算的实际完成情况。它反映了部门/单位在组织非税收入、执行预算的准确性和完成预算目标的能力。</w:t>
            </w:r>
          </w:p>
        </w:tc>
        <w:tc>
          <w:tcPr>
            <w:tcW w:w="1181" w:type="pct"/>
            <w:shd w:val="clear" w:color="auto" w:fill="auto"/>
            <w:vAlign w:val="center"/>
          </w:tcPr>
          <w:p w14:paraId="2D595893">
            <w:pPr>
              <w:widowControl/>
              <w:adjustRightInd w:val="0"/>
              <w:snapToGrid w:val="0"/>
              <w:spacing w:line="260" w:lineRule="exact"/>
              <w:ind w:firstLine="0" w:firstLineChars="0"/>
              <w:textAlignment w:val="center"/>
              <w:rPr>
                <w:rFonts w:hint="eastAsia" w:cs="宋体"/>
                <w:color w:val="000000"/>
                <w:sz w:val="21"/>
                <w:szCs w:val="16"/>
                <w:lang w:eastAsia="zh-CN"/>
              </w:rPr>
            </w:pPr>
            <w:r>
              <w:rPr>
                <w:rFonts w:hint="eastAsia" w:cs="宋体"/>
                <w:color w:val="000000"/>
                <w:sz w:val="21"/>
                <w:szCs w:val="16"/>
              </w:rPr>
              <w:t>非税收入预算完成率=(</w:t>
            </w:r>
            <w:r>
              <w:rPr>
                <w:rFonts w:hint="eastAsia" w:cs="宋体"/>
                <w:color w:val="000000"/>
                <w:sz w:val="21"/>
                <w:szCs w:val="16"/>
                <w:lang w:val="en-US" w:eastAsia="zh-CN"/>
              </w:rPr>
              <w:t>本年度</w:t>
            </w:r>
            <w:r>
              <w:rPr>
                <w:rFonts w:hint="eastAsia" w:cs="宋体"/>
                <w:color w:val="000000"/>
                <w:sz w:val="21"/>
                <w:szCs w:val="16"/>
              </w:rPr>
              <w:t>实际完成非税收入额÷年度非税收入预算额)×100%</w:t>
            </w:r>
            <w:r>
              <w:rPr>
                <w:rFonts w:hint="eastAsia" w:cs="宋体"/>
                <w:color w:val="000000"/>
                <w:sz w:val="21"/>
                <w:szCs w:val="16"/>
                <w:lang w:eastAsia="zh-CN"/>
              </w:rPr>
              <w:t>。</w:t>
            </w:r>
          </w:p>
          <w:p w14:paraId="73FA41A6">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评分规则：1.比率≥100%,得满分；2.比率&lt;100%,每减少1%,扣2%的权重分，扣完为止。</w:t>
            </w:r>
          </w:p>
        </w:tc>
        <w:tc>
          <w:tcPr>
            <w:tcW w:w="942" w:type="pct"/>
            <w:shd w:val="clear" w:color="auto" w:fill="auto"/>
            <w:vAlign w:val="center"/>
          </w:tcPr>
          <w:p w14:paraId="2E67E027">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color w:val="000000"/>
                <w:sz w:val="21"/>
                <w:szCs w:val="16"/>
                <w:highlight w:val="none"/>
              </w:rPr>
              <w:t>非税收入预算完成率=(</w:t>
            </w:r>
            <w:r>
              <w:rPr>
                <w:rFonts w:hint="eastAsia" w:cs="宋体"/>
                <w:color w:val="000000"/>
                <w:sz w:val="21"/>
                <w:szCs w:val="16"/>
                <w:highlight w:val="none"/>
                <w:lang w:val="en-US" w:eastAsia="zh-CN"/>
              </w:rPr>
              <w:t>本年度</w:t>
            </w:r>
            <w:r>
              <w:rPr>
                <w:rFonts w:hint="eastAsia" w:cs="宋体"/>
                <w:color w:val="000000"/>
                <w:sz w:val="21"/>
                <w:szCs w:val="16"/>
                <w:highlight w:val="none"/>
              </w:rPr>
              <w:t>实际完成非税收入额÷年度非税收入预算额)×100%</w:t>
            </w:r>
            <w:r>
              <w:rPr>
                <w:rFonts w:hint="eastAsia" w:cs="宋体"/>
                <w:color w:val="000000"/>
                <w:sz w:val="21"/>
                <w:szCs w:val="16"/>
                <w:highlight w:val="none"/>
                <w:lang w:val="en-US" w:eastAsia="zh-CN"/>
              </w:rPr>
              <w:t>=</w:t>
            </w:r>
            <w:r>
              <w:rPr>
                <w:rFonts w:hint="eastAsia" w:cs="宋体"/>
                <w:sz w:val="21"/>
                <w:szCs w:val="16"/>
                <w:highlight w:val="none"/>
              </w:rPr>
              <w:t>依据评分标准，得1分。</w:t>
            </w:r>
          </w:p>
        </w:tc>
        <w:tc>
          <w:tcPr>
            <w:tcW w:w="259" w:type="pct"/>
            <w:shd w:val="clear" w:color="auto" w:fill="auto"/>
            <w:vAlign w:val="center"/>
          </w:tcPr>
          <w:p w14:paraId="3DBDFE34">
            <w:pPr>
              <w:widowControl/>
              <w:adjustRightInd w:val="0"/>
              <w:snapToGrid w:val="0"/>
              <w:spacing w:line="260" w:lineRule="exact"/>
              <w:ind w:firstLine="0" w:firstLineChars="0"/>
              <w:jc w:val="center"/>
              <w:textAlignment w:val="center"/>
              <w:rPr>
                <w:rFonts w:hint="default" w:ascii="Times New Roman" w:hAnsi="Times New Roman" w:eastAsia="仿宋" w:cs="宋体"/>
                <w:color w:val="000000"/>
                <w:sz w:val="21"/>
                <w:szCs w:val="16"/>
                <w:lang w:val="en-US" w:eastAsia="zh-CN" w:bidi="ar-SA"/>
              </w:rPr>
            </w:pPr>
            <w:r>
              <w:rPr>
                <w:rFonts w:hint="eastAsia" w:cs="宋体"/>
                <w:color w:val="000000"/>
                <w:sz w:val="21"/>
                <w:szCs w:val="16"/>
                <w:lang w:val="en-US" w:eastAsia="zh-CN" w:bidi="ar-SA"/>
              </w:rPr>
              <w:t>1.00</w:t>
            </w:r>
          </w:p>
        </w:tc>
      </w:tr>
      <w:tr w14:paraId="1B84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0ED92AE2">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7340DB1B">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3D433415">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7</w:t>
            </w:r>
            <w:r>
              <w:rPr>
                <w:rFonts w:hint="eastAsia" w:cs="宋体"/>
                <w:sz w:val="21"/>
                <w:szCs w:val="16"/>
              </w:rPr>
              <w:t>预算执行率</w:t>
            </w:r>
          </w:p>
        </w:tc>
        <w:tc>
          <w:tcPr>
            <w:tcW w:w="379" w:type="pct"/>
            <w:shd w:val="clear" w:color="auto" w:fill="auto"/>
            <w:vAlign w:val="center"/>
          </w:tcPr>
          <w:p w14:paraId="4757D736">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100EA304">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2</w:t>
            </w:r>
          </w:p>
        </w:tc>
        <w:tc>
          <w:tcPr>
            <w:tcW w:w="780" w:type="pct"/>
            <w:shd w:val="clear" w:color="auto" w:fill="auto"/>
            <w:vAlign w:val="center"/>
          </w:tcPr>
          <w:p w14:paraId="19D240D4">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部门（单位）本年度预算完成数与调整预算数的比率，用以反映和考核部门（单位）预算完成程度。</w:t>
            </w:r>
          </w:p>
        </w:tc>
        <w:tc>
          <w:tcPr>
            <w:tcW w:w="1181" w:type="pct"/>
            <w:shd w:val="clear" w:color="auto" w:fill="auto"/>
            <w:vAlign w:val="center"/>
          </w:tcPr>
          <w:p w14:paraId="1CA38B8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024BF5B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1.基本支出预算执行率=（基本支出预算执行数/基本支出调整预算数）×100%。</w:t>
            </w:r>
          </w:p>
          <w:p w14:paraId="4B5A506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2.项目支出预算执行率=（项目支出预算执行数/项目支出调整预算数）×100%。</w:t>
            </w:r>
          </w:p>
          <w:p w14:paraId="0FAFE578">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评分规则：以上评价要点各占1/2权重，得分=（基本支出预算执行率+项目支出预算执行率）×50%×分值。</w:t>
            </w:r>
          </w:p>
        </w:tc>
        <w:tc>
          <w:tcPr>
            <w:tcW w:w="942" w:type="pct"/>
            <w:shd w:val="clear" w:color="auto" w:fill="auto"/>
            <w:vAlign w:val="center"/>
          </w:tcPr>
          <w:p w14:paraId="41396F73">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基本支出预算执行率=（基本支出预算执行数2404.61万元/基本支出调整预算数2404.61万元）×100%=100.00%；</w:t>
            </w:r>
          </w:p>
          <w:p w14:paraId="160D357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项目支出预算执行率=（项目支出预算执行数546.12万元/项目支出调整预算数546.12万元）×100%=100.00%；</w:t>
            </w:r>
          </w:p>
          <w:p w14:paraId="10B8A331">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预算执行率=（基本支出预算执行率100.00%+项目支出预算执行率100.00%）/2=100.00%，得2分。</w:t>
            </w:r>
          </w:p>
        </w:tc>
        <w:tc>
          <w:tcPr>
            <w:tcW w:w="259" w:type="pct"/>
            <w:shd w:val="clear" w:color="auto" w:fill="auto"/>
            <w:vAlign w:val="center"/>
          </w:tcPr>
          <w:p w14:paraId="16DF8430">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2.00</w:t>
            </w:r>
          </w:p>
        </w:tc>
      </w:tr>
      <w:tr w14:paraId="761D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38963CB5">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0752A6C1">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78AC099B">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B1</w:t>
            </w:r>
            <w:r>
              <w:rPr>
                <w:rFonts w:hint="eastAsia" w:cs="宋体"/>
                <w:sz w:val="21"/>
                <w:szCs w:val="16"/>
                <w:lang w:val="en-US" w:eastAsia="zh-CN"/>
              </w:rPr>
              <w:t>8</w:t>
            </w:r>
            <w:r>
              <w:rPr>
                <w:rFonts w:hint="eastAsia" w:cs="宋体"/>
                <w:sz w:val="21"/>
                <w:szCs w:val="16"/>
              </w:rPr>
              <w:t>预算调整率</w:t>
            </w:r>
          </w:p>
        </w:tc>
        <w:tc>
          <w:tcPr>
            <w:tcW w:w="379" w:type="pct"/>
            <w:shd w:val="clear" w:color="auto" w:fill="auto"/>
            <w:vAlign w:val="center"/>
          </w:tcPr>
          <w:p w14:paraId="573870CB">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0</w:t>
            </w:r>
          </w:p>
        </w:tc>
        <w:tc>
          <w:tcPr>
            <w:tcW w:w="230" w:type="pct"/>
            <w:shd w:val="clear" w:color="auto" w:fill="auto"/>
            <w:vAlign w:val="center"/>
          </w:tcPr>
          <w:p w14:paraId="0E75103F">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2777C569">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部门（单位）本年度预算调整数与预算数的比率，用以反映和考核部门（单位）预算的调整程度。</w:t>
            </w:r>
          </w:p>
        </w:tc>
        <w:tc>
          <w:tcPr>
            <w:tcW w:w="1181" w:type="pct"/>
            <w:shd w:val="clear" w:color="auto" w:fill="auto"/>
            <w:vAlign w:val="center"/>
          </w:tcPr>
          <w:p w14:paraId="6473D8C4">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预算调整率=（预算调整数/预算数）×100%。预算调整数：部门（单位）在本年度内涉及预算的追加、追减或结构调整的资金总和（因落实国家政策，发生不可抗力、上级部门或本级党委政府临时交办而产生的调整除外）。</w:t>
            </w:r>
          </w:p>
          <w:p w14:paraId="2A8557D3">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评分规则：1.比率=0%,得满分；每增加1%,扣1%的权重分，扣完为止。</w:t>
            </w:r>
          </w:p>
        </w:tc>
        <w:tc>
          <w:tcPr>
            <w:tcW w:w="942" w:type="pct"/>
            <w:shd w:val="clear" w:color="auto" w:fill="auto"/>
            <w:vAlign w:val="center"/>
          </w:tcPr>
          <w:p w14:paraId="72974655">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预算调整率=[（预算调整数574.97万元/预算数（2375.76万元）]×100%=24.20%，依据评分标准，扣0.24分。</w:t>
            </w:r>
          </w:p>
        </w:tc>
        <w:tc>
          <w:tcPr>
            <w:tcW w:w="259" w:type="pct"/>
            <w:shd w:val="clear" w:color="auto" w:fill="auto"/>
            <w:vAlign w:val="center"/>
          </w:tcPr>
          <w:p w14:paraId="19BCEA7F">
            <w:pPr>
              <w:widowControl/>
              <w:adjustRightInd w:val="0"/>
              <w:snapToGrid w:val="0"/>
              <w:spacing w:line="260" w:lineRule="exact"/>
              <w:ind w:firstLine="0" w:firstLineChars="0"/>
              <w:jc w:val="center"/>
              <w:textAlignment w:val="center"/>
              <w:rPr>
                <w:rFonts w:ascii="Times New Roman" w:hAnsi="Times New Roman" w:eastAsia="仿宋" w:cs="宋体"/>
                <w:color w:val="000000"/>
                <w:sz w:val="21"/>
                <w:szCs w:val="16"/>
                <w:lang w:val="en-US" w:eastAsia="zh-CN" w:bidi="ar-SA"/>
              </w:rPr>
            </w:pPr>
            <w:r>
              <w:rPr>
                <w:rFonts w:hint="eastAsia" w:cs="宋体"/>
                <w:sz w:val="21"/>
                <w:szCs w:val="16"/>
              </w:rPr>
              <w:t>0.76</w:t>
            </w:r>
          </w:p>
        </w:tc>
      </w:tr>
      <w:tr w14:paraId="6278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385304FE">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4D27D857">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B2预算管理（</w:t>
            </w:r>
            <w:r>
              <w:rPr>
                <w:rFonts w:hint="eastAsia" w:cs="宋体"/>
                <w:sz w:val="21"/>
                <w:szCs w:val="16"/>
                <w:lang w:val="en-US" w:eastAsia="zh-CN"/>
              </w:rPr>
              <w:t>7</w:t>
            </w:r>
            <w:r>
              <w:rPr>
                <w:rFonts w:hint="eastAsia" w:cs="宋体"/>
                <w:sz w:val="21"/>
                <w:szCs w:val="16"/>
              </w:rPr>
              <w:t>）</w:t>
            </w:r>
          </w:p>
        </w:tc>
        <w:tc>
          <w:tcPr>
            <w:tcW w:w="400" w:type="pct"/>
            <w:shd w:val="clear" w:color="auto" w:fill="auto"/>
            <w:vAlign w:val="center"/>
          </w:tcPr>
          <w:p w14:paraId="012C036A">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B2</w:t>
            </w:r>
            <w:r>
              <w:rPr>
                <w:rFonts w:hint="eastAsia" w:cs="宋体"/>
                <w:sz w:val="21"/>
                <w:szCs w:val="16"/>
                <w:lang w:val="en-US" w:eastAsia="zh-CN"/>
              </w:rPr>
              <w:t>1</w:t>
            </w:r>
            <w:r>
              <w:rPr>
                <w:rFonts w:hint="eastAsia" w:cs="宋体"/>
                <w:sz w:val="21"/>
                <w:szCs w:val="16"/>
              </w:rPr>
              <w:t>基础信息完善性</w:t>
            </w:r>
          </w:p>
        </w:tc>
        <w:tc>
          <w:tcPr>
            <w:tcW w:w="379" w:type="pct"/>
            <w:shd w:val="clear" w:color="auto" w:fill="auto"/>
            <w:vAlign w:val="center"/>
          </w:tcPr>
          <w:p w14:paraId="7ECC5425">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完善</w:t>
            </w:r>
          </w:p>
        </w:tc>
        <w:tc>
          <w:tcPr>
            <w:tcW w:w="230" w:type="pct"/>
            <w:shd w:val="clear" w:color="auto" w:fill="auto"/>
            <w:vAlign w:val="center"/>
          </w:tcPr>
          <w:p w14:paraId="4FA7264A">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6AE690C9">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部门（单位）预算编制基础信息是否完善，用以反映和考核基础信息对预算管理工作的支撑情况。</w:t>
            </w:r>
          </w:p>
        </w:tc>
        <w:tc>
          <w:tcPr>
            <w:tcW w:w="1181" w:type="pct"/>
            <w:shd w:val="clear" w:color="auto" w:fill="auto"/>
            <w:vAlign w:val="center"/>
          </w:tcPr>
          <w:p w14:paraId="49450D0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464397D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1.基本财务管理制度健全；</w:t>
            </w:r>
          </w:p>
          <w:p w14:paraId="20B7764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2.基础数据信息和会计信息资料是否真实、完整、准确。</w:t>
            </w:r>
          </w:p>
          <w:p w14:paraId="7ECCDF7F">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282643C5">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1.基本财务管理制度健全，达成；</w:t>
            </w:r>
          </w:p>
          <w:p w14:paraId="7ACF227E">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 xml:space="preserve"> 2.基础数据信息和会计信息资料真实、完整、准确，达成。</w:t>
            </w:r>
          </w:p>
        </w:tc>
        <w:tc>
          <w:tcPr>
            <w:tcW w:w="259" w:type="pct"/>
            <w:shd w:val="clear" w:color="auto" w:fill="auto"/>
            <w:vAlign w:val="center"/>
          </w:tcPr>
          <w:p w14:paraId="662854DD">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651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474FBB8B">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780A17FF">
            <w:pPr>
              <w:widowControl/>
              <w:adjustRightInd w:val="0"/>
              <w:snapToGrid w:val="0"/>
              <w:spacing w:line="260" w:lineRule="exact"/>
              <w:ind w:firstLine="0" w:firstLineChars="0"/>
              <w:jc w:val="center"/>
              <w:textAlignment w:val="center"/>
              <w:rPr>
                <w:rFonts w:hint="eastAsia" w:cs="宋体"/>
                <w:sz w:val="21"/>
                <w:szCs w:val="16"/>
              </w:rPr>
            </w:pPr>
          </w:p>
        </w:tc>
        <w:tc>
          <w:tcPr>
            <w:tcW w:w="400" w:type="pct"/>
            <w:shd w:val="clear" w:color="auto" w:fill="auto"/>
            <w:vAlign w:val="center"/>
          </w:tcPr>
          <w:p w14:paraId="3B19012A">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B2</w:t>
            </w:r>
            <w:r>
              <w:rPr>
                <w:rFonts w:hint="eastAsia" w:cs="宋体"/>
                <w:sz w:val="21"/>
                <w:szCs w:val="16"/>
                <w:lang w:val="en-US" w:eastAsia="zh-CN"/>
              </w:rPr>
              <w:t>2</w:t>
            </w:r>
            <w:r>
              <w:rPr>
                <w:rFonts w:hint="eastAsia" w:cs="宋体"/>
                <w:sz w:val="21"/>
                <w:szCs w:val="16"/>
              </w:rPr>
              <w:t>绩效管理覆盖率</w:t>
            </w:r>
          </w:p>
        </w:tc>
        <w:tc>
          <w:tcPr>
            <w:tcW w:w="379" w:type="pct"/>
            <w:shd w:val="clear" w:color="auto" w:fill="auto"/>
            <w:vAlign w:val="center"/>
          </w:tcPr>
          <w:p w14:paraId="23789381">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697D1CD8">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5F64D1D4">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部门（单位）是否将所有资金纳入全过程预算绩效管理，用以反映和考核部门全面实施预算绩效管理工作情况。</w:t>
            </w:r>
          </w:p>
        </w:tc>
        <w:tc>
          <w:tcPr>
            <w:tcW w:w="1181" w:type="pct"/>
            <w:shd w:val="clear" w:color="auto" w:fill="auto"/>
            <w:vAlign w:val="center"/>
          </w:tcPr>
          <w:p w14:paraId="4E6C9852">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绩效管理覆盖率=（纳入绩效管理预算数/部门整体预算总额）×100%。</w:t>
            </w:r>
            <w:r>
              <w:rPr>
                <w:rFonts w:hint="eastAsia" w:cs="宋体"/>
                <w:sz w:val="21"/>
                <w:szCs w:val="16"/>
              </w:rPr>
              <w:br w:type="textWrapping"/>
            </w:r>
            <w:r>
              <w:rPr>
                <w:rFonts w:hint="eastAsia" w:cs="宋体"/>
                <w:sz w:val="21"/>
                <w:szCs w:val="16"/>
              </w:rPr>
              <w:t>评分规则：得分=绩效管理覆盖率×分值。</w:t>
            </w:r>
          </w:p>
        </w:tc>
        <w:tc>
          <w:tcPr>
            <w:tcW w:w="942" w:type="pct"/>
            <w:shd w:val="clear" w:color="auto" w:fill="auto"/>
            <w:vAlign w:val="center"/>
          </w:tcPr>
          <w:p w14:paraId="2D710236">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绩效管理覆盖率=（纳入绩效管理预算数2950.73万元/部门整体预算总额2950.73万元）×100%=100%。</w:t>
            </w:r>
          </w:p>
        </w:tc>
        <w:tc>
          <w:tcPr>
            <w:tcW w:w="259" w:type="pct"/>
            <w:shd w:val="clear" w:color="auto" w:fill="auto"/>
            <w:vAlign w:val="center"/>
          </w:tcPr>
          <w:p w14:paraId="45C8FD4F">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2901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6" w:type="pct"/>
            <w:vMerge w:val="continue"/>
            <w:shd w:val="clear" w:color="auto" w:fill="auto"/>
            <w:vAlign w:val="center"/>
          </w:tcPr>
          <w:p w14:paraId="7DF98EA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0DBCFFA">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04CDBA04">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B2</w:t>
            </w:r>
            <w:r>
              <w:rPr>
                <w:rFonts w:hint="eastAsia" w:cs="宋体"/>
                <w:sz w:val="21"/>
                <w:szCs w:val="16"/>
                <w:lang w:val="en-US" w:eastAsia="zh-CN"/>
              </w:rPr>
              <w:t>3</w:t>
            </w:r>
            <w:r>
              <w:rPr>
                <w:rFonts w:hint="eastAsia" w:cs="宋体"/>
                <w:sz w:val="21"/>
                <w:szCs w:val="16"/>
              </w:rPr>
              <w:t>资金使用合规性</w:t>
            </w:r>
          </w:p>
        </w:tc>
        <w:tc>
          <w:tcPr>
            <w:tcW w:w="379" w:type="pct"/>
            <w:shd w:val="clear" w:color="auto" w:fill="auto"/>
            <w:vAlign w:val="center"/>
          </w:tcPr>
          <w:p w14:paraId="611AF5A7">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合规</w:t>
            </w:r>
          </w:p>
        </w:tc>
        <w:tc>
          <w:tcPr>
            <w:tcW w:w="230" w:type="pct"/>
            <w:shd w:val="clear" w:color="auto" w:fill="auto"/>
            <w:vAlign w:val="center"/>
          </w:tcPr>
          <w:p w14:paraId="031E2197">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2</w:t>
            </w:r>
          </w:p>
        </w:tc>
        <w:tc>
          <w:tcPr>
            <w:tcW w:w="780" w:type="pct"/>
            <w:shd w:val="clear" w:color="auto" w:fill="auto"/>
            <w:vAlign w:val="center"/>
          </w:tcPr>
          <w:p w14:paraId="7BFF756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部门（单位）使用预算资金是否符合相关的预算财务管理制度的规定，用以反映和考核部门（单位）预算资金的规范运行情况。</w:t>
            </w:r>
          </w:p>
        </w:tc>
        <w:tc>
          <w:tcPr>
            <w:tcW w:w="1181" w:type="pct"/>
            <w:shd w:val="clear" w:color="auto" w:fill="auto"/>
            <w:vAlign w:val="center"/>
          </w:tcPr>
          <w:p w14:paraId="0EA022B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2831B7A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1.是否符合国家财经法规和财务管理制度以及有关专项资金管理办法的规定；</w:t>
            </w:r>
          </w:p>
          <w:p w14:paraId="71799EA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2.是否存在截留、挤占、挪用、虚列支出等情况；</w:t>
            </w:r>
          </w:p>
          <w:p w14:paraId="42233258">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3.资金拨付是否有完整的审批程序和手续；</w:t>
            </w:r>
          </w:p>
          <w:p w14:paraId="0A94063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4.公用经费是否存在超标准支出情况，项目支出与公用经费是否存在重复交叉。</w:t>
            </w:r>
          </w:p>
          <w:p w14:paraId="7EDE310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评分规则：以上评价要点各占1/4分值，每个要点执行情况分为达成、部分达成、未达成三档，分别按分值的100%-80%（含）、80%-60%（含）、60%-0%合理确定分值。</w:t>
            </w:r>
          </w:p>
        </w:tc>
        <w:tc>
          <w:tcPr>
            <w:tcW w:w="942" w:type="pct"/>
            <w:shd w:val="clear" w:color="auto" w:fill="auto"/>
            <w:vAlign w:val="center"/>
          </w:tcPr>
          <w:p w14:paraId="54E04AA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1.符合国家财经法规和财务管理制度以及有关专项资金管理办法的规定；</w:t>
            </w:r>
          </w:p>
          <w:p w14:paraId="643132C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2.不存在截留、挤占、挪用、虚列支出等情况；</w:t>
            </w:r>
          </w:p>
          <w:p w14:paraId="3B81E74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3.资金拨付有完整的审批程序和手续；</w:t>
            </w:r>
          </w:p>
          <w:p w14:paraId="2AF6637F">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4.公用经费不存在超标准支出情况，项目支出与公用经费不存在重复交叉。</w:t>
            </w:r>
          </w:p>
        </w:tc>
        <w:tc>
          <w:tcPr>
            <w:tcW w:w="259" w:type="pct"/>
            <w:shd w:val="clear" w:color="auto" w:fill="auto"/>
            <w:vAlign w:val="center"/>
          </w:tcPr>
          <w:p w14:paraId="034C2BF2">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1280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6" w:type="pct"/>
            <w:vMerge w:val="continue"/>
            <w:shd w:val="clear" w:color="auto" w:fill="auto"/>
            <w:vAlign w:val="center"/>
          </w:tcPr>
          <w:p w14:paraId="62ABFB26">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0BB0E9DD">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4FFB2750">
            <w:pPr>
              <w:widowControl/>
              <w:adjustRightInd w:val="0"/>
              <w:snapToGrid w:val="0"/>
              <w:spacing w:line="260" w:lineRule="exact"/>
              <w:ind w:firstLine="0" w:firstLineChars="0"/>
              <w:textAlignment w:val="center"/>
              <w:rPr>
                <w:rFonts w:cs="宋体"/>
                <w:sz w:val="21"/>
                <w:szCs w:val="16"/>
                <w:highlight w:val="none"/>
              </w:rPr>
            </w:pPr>
            <w:r>
              <w:rPr>
                <w:rFonts w:hint="eastAsia" w:cs="宋体"/>
                <w:sz w:val="21"/>
                <w:szCs w:val="16"/>
              </w:rPr>
              <w:t>B2</w:t>
            </w:r>
            <w:r>
              <w:rPr>
                <w:rFonts w:hint="eastAsia" w:cs="宋体"/>
                <w:sz w:val="21"/>
                <w:szCs w:val="16"/>
                <w:lang w:val="en-US" w:eastAsia="zh-CN"/>
              </w:rPr>
              <w:t>4</w:t>
            </w:r>
            <w:r>
              <w:rPr>
                <w:rFonts w:hint="eastAsia" w:cs="宋体"/>
                <w:sz w:val="21"/>
                <w:szCs w:val="16"/>
                <w:highlight w:val="none"/>
              </w:rPr>
              <w:t>非税收入管理合规性</w:t>
            </w:r>
          </w:p>
        </w:tc>
        <w:tc>
          <w:tcPr>
            <w:tcW w:w="379" w:type="pct"/>
            <w:shd w:val="clear" w:color="auto" w:fill="auto"/>
            <w:vAlign w:val="center"/>
          </w:tcPr>
          <w:p w14:paraId="119C1FD9">
            <w:pPr>
              <w:widowControl/>
              <w:adjustRightInd w:val="0"/>
              <w:snapToGrid w:val="0"/>
              <w:spacing w:line="260" w:lineRule="exact"/>
              <w:ind w:firstLine="0" w:firstLineChars="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cs="宋体"/>
                <w:color w:val="000000"/>
                <w:sz w:val="21"/>
                <w:szCs w:val="16"/>
                <w:highlight w:val="none"/>
                <w:lang w:val="en-US" w:eastAsia="zh-CN"/>
              </w:rPr>
              <w:t>合规</w:t>
            </w:r>
          </w:p>
        </w:tc>
        <w:tc>
          <w:tcPr>
            <w:tcW w:w="230" w:type="pct"/>
            <w:shd w:val="clear" w:color="auto" w:fill="auto"/>
            <w:vAlign w:val="center"/>
          </w:tcPr>
          <w:p w14:paraId="63FCDD75">
            <w:pPr>
              <w:widowControl/>
              <w:adjustRightInd w:val="0"/>
              <w:snapToGrid w:val="0"/>
              <w:spacing w:line="260" w:lineRule="exact"/>
              <w:ind w:firstLine="0" w:firstLineChars="0"/>
              <w:jc w:val="center"/>
              <w:textAlignment w:val="center"/>
              <w:rPr>
                <w:rFonts w:hint="eastAsia" w:eastAsia="仿宋" w:cs="宋体"/>
                <w:kern w:val="2"/>
                <w:sz w:val="21"/>
                <w:szCs w:val="16"/>
                <w:highlight w:val="none"/>
                <w:lang w:val="en-US" w:eastAsia="zh-CN"/>
              </w:rPr>
            </w:pPr>
            <w:r>
              <w:rPr>
                <w:rFonts w:hint="eastAsia" w:cs="宋体"/>
                <w:kern w:val="2"/>
                <w:sz w:val="21"/>
                <w:szCs w:val="16"/>
                <w:highlight w:val="none"/>
                <w:lang w:val="en-US" w:eastAsia="zh-CN"/>
              </w:rPr>
              <w:t>1</w:t>
            </w:r>
          </w:p>
        </w:tc>
        <w:tc>
          <w:tcPr>
            <w:tcW w:w="780" w:type="pct"/>
            <w:shd w:val="clear" w:color="auto" w:fill="auto"/>
            <w:vAlign w:val="center"/>
          </w:tcPr>
          <w:p w14:paraId="68FBEDD5">
            <w:pPr>
              <w:widowControl/>
              <w:adjustRightInd w:val="0"/>
              <w:snapToGrid w:val="0"/>
              <w:spacing w:line="260" w:lineRule="exact"/>
              <w:ind w:firstLine="0" w:firstLineChars="0"/>
              <w:textAlignment w:val="center"/>
              <w:rPr>
                <w:rFonts w:cs="宋体"/>
                <w:sz w:val="21"/>
                <w:szCs w:val="16"/>
              </w:rPr>
            </w:pPr>
            <w:r>
              <w:rPr>
                <w:rFonts w:hint="eastAsia" w:cs="宋体"/>
                <w:color w:val="000000"/>
                <w:sz w:val="21"/>
                <w:szCs w:val="16"/>
              </w:rPr>
              <w:t>部门（单位）是否严格执行“收支两条线”管理规定，所有非税收入是否及时、足额缴入国库或财政专户。</w:t>
            </w:r>
          </w:p>
        </w:tc>
        <w:tc>
          <w:tcPr>
            <w:tcW w:w="1181" w:type="pct"/>
            <w:shd w:val="clear" w:color="auto" w:fill="auto"/>
            <w:vAlign w:val="center"/>
          </w:tcPr>
          <w:p w14:paraId="31D6BFC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4EA24F8F">
            <w:pPr>
              <w:widowControl/>
              <w:numPr>
                <w:ilvl w:val="0"/>
                <w:numId w:val="0"/>
              </w:numPr>
              <w:adjustRightInd w:val="0"/>
              <w:snapToGrid w:val="0"/>
              <w:spacing w:line="260" w:lineRule="exact"/>
              <w:textAlignment w:val="center"/>
              <w:rPr>
                <w:rFonts w:hint="eastAsia" w:cs="宋体"/>
                <w:color w:val="000000"/>
                <w:sz w:val="21"/>
                <w:szCs w:val="16"/>
                <w:lang w:eastAsia="zh-CN"/>
              </w:rPr>
            </w:pPr>
            <w:r>
              <w:rPr>
                <w:rFonts w:hint="eastAsia" w:cs="宋体"/>
                <w:color w:val="000000"/>
                <w:sz w:val="21"/>
                <w:szCs w:val="16"/>
                <w:lang w:val="en-US" w:eastAsia="zh-CN"/>
              </w:rPr>
              <w:t>1.</w:t>
            </w:r>
            <w:r>
              <w:rPr>
                <w:rFonts w:hint="eastAsia" w:cs="宋体"/>
                <w:color w:val="000000"/>
                <w:sz w:val="21"/>
                <w:szCs w:val="16"/>
              </w:rPr>
              <w:t>部门（单位）是否严格执行“收支两条线”管理规定</w:t>
            </w:r>
            <w:r>
              <w:rPr>
                <w:rFonts w:hint="eastAsia" w:cs="宋体"/>
                <w:color w:val="000000"/>
                <w:sz w:val="21"/>
                <w:szCs w:val="16"/>
                <w:lang w:eastAsia="zh-CN"/>
              </w:rPr>
              <w:t>；</w:t>
            </w:r>
          </w:p>
          <w:p w14:paraId="5A75C8E0">
            <w:pPr>
              <w:widowControl/>
              <w:numPr>
                <w:ilvl w:val="0"/>
                <w:numId w:val="0"/>
              </w:numPr>
              <w:adjustRightInd w:val="0"/>
              <w:snapToGrid w:val="0"/>
              <w:spacing w:line="260" w:lineRule="exact"/>
              <w:textAlignment w:val="center"/>
              <w:rPr>
                <w:rFonts w:hint="eastAsia" w:cs="宋体"/>
                <w:color w:val="000000"/>
                <w:sz w:val="21"/>
                <w:szCs w:val="16"/>
              </w:rPr>
            </w:pPr>
            <w:r>
              <w:rPr>
                <w:rFonts w:hint="eastAsia" w:cs="宋体"/>
                <w:color w:val="000000"/>
                <w:sz w:val="21"/>
                <w:szCs w:val="16"/>
                <w:lang w:val="en-US" w:eastAsia="zh-CN"/>
              </w:rPr>
              <w:t>2.</w:t>
            </w:r>
            <w:r>
              <w:rPr>
                <w:rFonts w:hint="eastAsia" w:cs="宋体"/>
                <w:color w:val="000000"/>
                <w:sz w:val="21"/>
                <w:szCs w:val="16"/>
              </w:rPr>
              <w:t>所有非税收入是否及时、足额缴入国库或财政专户。</w:t>
            </w:r>
          </w:p>
          <w:p w14:paraId="0D138C61">
            <w:pPr>
              <w:widowControl/>
              <w:numPr>
                <w:ilvl w:val="0"/>
                <w:numId w:val="0"/>
              </w:numPr>
              <w:adjustRightInd w:val="0"/>
              <w:snapToGrid w:val="0"/>
              <w:spacing w:line="260" w:lineRule="exact"/>
              <w:textAlignment w:val="center"/>
              <w:rPr>
                <w:rFonts w:cs="宋体"/>
                <w:sz w:val="21"/>
                <w:szCs w:val="16"/>
              </w:rPr>
            </w:pPr>
            <w:r>
              <w:rPr>
                <w:rFonts w:hint="eastAsia" w:cs="宋体"/>
                <w:sz w:val="21"/>
                <w:szCs w:val="16"/>
              </w:rPr>
              <w:t>评分规则：1.比率≥100%,得满分；2.比率&lt;100%,每减少1%,扣2%的权重分，扣完为止。</w:t>
            </w:r>
          </w:p>
        </w:tc>
        <w:tc>
          <w:tcPr>
            <w:tcW w:w="942" w:type="pct"/>
            <w:shd w:val="clear" w:color="auto" w:fill="auto"/>
            <w:vAlign w:val="center"/>
          </w:tcPr>
          <w:p w14:paraId="3BACEA67">
            <w:pPr>
              <w:widowControl/>
              <w:numPr>
                <w:ilvl w:val="0"/>
                <w:numId w:val="0"/>
              </w:numPr>
              <w:adjustRightInd w:val="0"/>
              <w:snapToGrid w:val="0"/>
              <w:spacing w:line="260" w:lineRule="exact"/>
              <w:textAlignment w:val="center"/>
              <w:rPr>
                <w:rFonts w:hint="eastAsia" w:cs="宋体"/>
                <w:color w:val="000000"/>
                <w:sz w:val="21"/>
                <w:szCs w:val="16"/>
                <w:lang w:eastAsia="zh-CN"/>
              </w:rPr>
            </w:pPr>
            <w:r>
              <w:rPr>
                <w:rFonts w:hint="eastAsia" w:cs="宋体"/>
                <w:color w:val="000000"/>
                <w:sz w:val="21"/>
                <w:szCs w:val="16"/>
                <w:lang w:val="en-US" w:eastAsia="zh-CN"/>
              </w:rPr>
              <w:t>1.</w:t>
            </w:r>
            <w:r>
              <w:rPr>
                <w:rFonts w:hint="eastAsia" w:cs="宋体"/>
                <w:color w:val="000000"/>
                <w:sz w:val="21"/>
                <w:szCs w:val="16"/>
              </w:rPr>
              <w:t>部门（单位）严格执行“收支两条线”管理规定</w:t>
            </w:r>
            <w:r>
              <w:rPr>
                <w:rFonts w:hint="eastAsia" w:cs="宋体"/>
                <w:color w:val="000000"/>
                <w:sz w:val="21"/>
                <w:szCs w:val="16"/>
                <w:lang w:eastAsia="zh-CN"/>
              </w:rPr>
              <w:t>；</w:t>
            </w:r>
          </w:p>
          <w:p w14:paraId="0BE63E99">
            <w:pPr>
              <w:widowControl/>
              <w:numPr>
                <w:ilvl w:val="0"/>
                <w:numId w:val="0"/>
              </w:numPr>
              <w:adjustRightInd w:val="0"/>
              <w:snapToGrid w:val="0"/>
              <w:spacing w:line="260" w:lineRule="exact"/>
              <w:textAlignment w:val="center"/>
              <w:rPr>
                <w:rFonts w:hint="eastAsia" w:cs="宋体"/>
                <w:color w:val="000000"/>
                <w:sz w:val="21"/>
                <w:szCs w:val="16"/>
              </w:rPr>
            </w:pPr>
            <w:r>
              <w:rPr>
                <w:rFonts w:hint="eastAsia" w:cs="宋体"/>
                <w:color w:val="000000"/>
                <w:sz w:val="21"/>
                <w:szCs w:val="16"/>
                <w:lang w:val="en-US" w:eastAsia="zh-CN"/>
              </w:rPr>
              <w:t>2.</w:t>
            </w:r>
            <w:r>
              <w:rPr>
                <w:rFonts w:hint="eastAsia" w:cs="宋体"/>
                <w:color w:val="000000"/>
                <w:sz w:val="21"/>
                <w:szCs w:val="16"/>
              </w:rPr>
              <w:t>所有非税收入及时、足额缴入国库或财政专户。</w:t>
            </w:r>
          </w:p>
          <w:p w14:paraId="15C2D3A2">
            <w:pPr>
              <w:widowControl/>
              <w:adjustRightInd w:val="0"/>
              <w:snapToGrid w:val="0"/>
              <w:spacing w:line="260" w:lineRule="exact"/>
              <w:ind w:firstLine="0" w:firstLineChars="0"/>
              <w:textAlignment w:val="center"/>
              <w:rPr>
                <w:rFonts w:cs="宋体"/>
                <w:sz w:val="21"/>
                <w:szCs w:val="16"/>
              </w:rPr>
            </w:pPr>
          </w:p>
        </w:tc>
        <w:tc>
          <w:tcPr>
            <w:tcW w:w="259" w:type="pct"/>
            <w:shd w:val="clear" w:color="auto" w:fill="auto"/>
            <w:vAlign w:val="center"/>
          </w:tcPr>
          <w:p w14:paraId="175C1197">
            <w:pPr>
              <w:widowControl/>
              <w:adjustRightInd w:val="0"/>
              <w:snapToGrid w:val="0"/>
              <w:spacing w:line="260" w:lineRule="exact"/>
              <w:ind w:firstLine="0" w:firstLineChars="0"/>
              <w:jc w:val="center"/>
              <w:textAlignment w:val="center"/>
              <w:rPr>
                <w:rFonts w:hint="default" w:eastAsia="仿宋" w:cs="宋体"/>
                <w:sz w:val="21"/>
                <w:szCs w:val="16"/>
                <w:lang w:val="en-US" w:eastAsia="zh-CN"/>
              </w:rPr>
            </w:pPr>
            <w:r>
              <w:rPr>
                <w:rFonts w:hint="eastAsia" w:cs="宋体"/>
                <w:sz w:val="21"/>
                <w:szCs w:val="16"/>
                <w:lang w:val="en-US" w:eastAsia="zh-CN"/>
              </w:rPr>
              <w:t>1.00</w:t>
            </w:r>
          </w:p>
        </w:tc>
      </w:tr>
      <w:tr w14:paraId="3A6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393C74AE">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7E3A14E7">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4EC5BBD6">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B25预决算信息公开度</w:t>
            </w:r>
          </w:p>
        </w:tc>
        <w:tc>
          <w:tcPr>
            <w:tcW w:w="379" w:type="pct"/>
            <w:shd w:val="clear" w:color="auto" w:fill="auto"/>
            <w:vAlign w:val="center"/>
          </w:tcPr>
          <w:p w14:paraId="37D758F9">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公开</w:t>
            </w:r>
          </w:p>
        </w:tc>
        <w:tc>
          <w:tcPr>
            <w:tcW w:w="230" w:type="pct"/>
            <w:shd w:val="clear" w:color="auto" w:fill="auto"/>
            <w:vAlign w:val="center"/>
          </w:tcPr>
          <w:p w14:paraId="63D044D7">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5783DFBA">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部门（单位）是否按照政府信息公开有关规定公开相关预决算信息，用以反映和考核部门（单位）预决算管理的公开透明情况。</w:t>
            </w:r>
          </w:p>
        </w:tc>
        <w:tc>
          <w:tcPr>
            <w:tcW w:w="1181" w:type="pct"/>
            <w:shd w:val="clear" w:color="auto" w:fill="auto"/>
            <w:vAlign w:val="center"/>
          </w:tcPr>
          <w:p w14:paraId="3A3E8EFA">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2F83930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1.是否按规定内容公开预决算信息；</w:t>
            </w:r>
          </w:p>
          <w:p w14:paraId="2B47F12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2.是否按规定时限公开预决算信息。</w:t>
            </w:r>
          </w:p>
          <w:p w14:paraId="3760AB92">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31C2013A">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1.按规定内容公开预决算信息，达成；</w:t>
            </w:r>
          </w:p>
          <w:p w14:paraId="7311E572">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2.按规定时限公开预决算信息，达成。</w:t>
            </w:r>
          </w:p>
        </w:tc>
        <w:tc>
          <w:tcPr>
            <w:tcW w:w="259" w:type="pct"/>
            <w:shd w:val="clear" w:color="auto" w:fill="auto"/>
            <w:vAlign w:val="center"/>
          </w:tcPr>
          <w:p w14:paraId="7AA0B6D6">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1088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5013C881">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933FDA9">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2D8209AB">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B2</w:t>
            </w:r>
            <w:r>
              <w:rPr>
                <w:rFonts w:hint="eastAsia" w:cs="宋体"/>
                <w:sz w:val="21"/>
                <w:szCs w:val="16"/>
                <w:lang w:val="en-US" w:eastAsia="zh-CN"/>
              </w:rPr>
              <w:t>6</w:t>
            </w:r>
            <w:r>
              <w:rPr>
                <w:rFonts w:hint="eastAsia" w:cs="宋体"/>
                <w:sz w:val="21"/>
                <w:szCs w:val="16"/>
              </w:rPr>
              <w:t>预算管理制度健全性</w:t>
            </w:r>
          </w:p>
        </w:tc>
        <w:tc>
          <w:tcPr>
            <w:tcW w:w="379" w:type="pct"/>
            <w:shd w:val="clear" w:color="auto" w:fill="auto"/>
            <w:vAlign w:val="center"/>
          </w:tcPr>
          <w:p w14:paraId="7D024A61">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健全</w:t>
            </w:r>
          </w:p>
        </w:tc>
        <w:tc>
          <w:tcPr>
            <w:tcW w:w="230" w:type="pct"/>
            <w:shd w:val="clear" w:color="auto" w:fill="auto"/>
            <w:vAlign w:val="center"/>
          </w:tcPr>
          <w:p w14:paraId="0608CD8B">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30A33E6B">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部门（单位）为加强预算管理、规范财务行为而制定的管理制度是否健全完整，用以反映和考核部门（单位）预算管理制度对完成部门整体预算和职责履行的保障作用。</w:t>
            </w:r>
          </w:p>
        </w:tc>
        <w:tc>
          <w:tcPr>
            <w:tcW w:w="1181" w:type="pct"/>
            <w:shd w:val="clear" w:color="auto" w:fill="auto"/>
            <w:vAlign w:val="center"/>
          </w:tcPr>
          <w:p w14:paraId="13C1F104">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454EE1F8">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1.是否已制定或具有相应的预算管理内控制度，包括收入与支出管理、往来资金结算管理、现金及银行存款管理、财务监督管理、政府采购管理、绩效管理等；</w:t>
            </w:r>
          </w:p>
          <w:p w14:paraId="06A6DFE7">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2.预算管理制度是否合法、合规、完整。</w:t>
            </w:r>
          </w:p>
          <w:p w14:paraId="215EDD74">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7F3DD55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1.已制定预算管理内控制度，包括收入与支出管理、现金及银行存款管理、财务监督管理、政府采购管理和绩效管理制度，达成；</w:t>
            </w:r>
          </w:p>
          <w:p w14:paraId="2D0D9E8B">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2.预算管理制度是否合法、合规、完整，达成。</w:t>
            </w:r>
          </w:p>
        </w:tc>
        <w:tc>
          <w:tcPr>
            <w:tcW w:w="259" w:type="pct"/>
            <w:shd w:val="clear" w:color="auto" w:fill="auto"/>
            <w:vAlign w:val="center"/>
          </w:tcPr>
          <w:p w14:paraId="59890761">
            <w:pPr>
              <w:widowControl/>
              <w:adjustRightInd w:val="0"/>
              <w:snapToGrid w:val="0"/>
              <w:spacing w:line="260" w:lineRule="exact"/>
              <w:ind w:firstLine="0" w:firstLineChars="0"/>
              <w:jc w:val="center"/>
              <w:textAlignment w:val="center"/>
              <w:rPr>
                <w:rFonts w:ascii="Times New Roman" w:hAnsi="Times New Roman" w:eastAsia="仿宋" w:cs="宋体"/>
                <w:color w:val="000000"/>
                <w:sz w:val="21"/>
                <w:szCs w:val="16"/>
                <w:lang w:val="en-US" w:eastAsia="zh-CN" w:bidi="ar-SA"/>
              </w:rPr>
            </w:pPr>
            <w:r>
              <w:rPr>
                <w:rFonts w:hint="eastAsia" w:cs="宋体"/>
                <w:sz w:val="21"/>
                <w:szCs w:val="16"/>
              </w:rPr>
              <w:t>1.00</w:t>
            </w:r>
          </w:p>
        </w:tc>
      </w:tr>
      <w:tr w14:paraId="2C92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6" w:type="pct"/>
            <w:vMerge w:val="continue"/>
            <w:shd w:val="clear" w:color="auto" w:fill="auto"/>
            <w:vAlign w:val="center"/>
          </w:tcPr>
          <w:p w14:paraId="42640D4B">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5795E96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B3资产管理（3）</w:t>
            </w:r>
          </w:p>
        </w:tc>
        <w:tc>
          <w:tcPr>
            <w:tcW w:w="400" w:type="pct"/>
            <w:shd w:val="clear" w:color="auto" w:fill="auto"/>
            <w:vAlign w:val="center"/>
          </w:tcPr>
          <w:p w14:paraId="49D53452">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B3</w:t>
            </w:r>
            <w:r>
              <w:rPr>
                <w:rFonts w:hint="eastAsia" w:cs="宋体"/>
                <w:sz w:val="21"/>
                <w:szCs w:val="16"/>
                <w:lang w:val="en-US" w:eastAsia="zh-CN"/>
              </w:rPr>
              <w:t>1</w:t>
            </w:r>
            <w:r>
              <w:rPr>
                <w:rFonts w:hint="eastAsia" w:cs="宋体"/>
                <w:sz w:val="21"/>
                <w:szCs w:val="16"/>
              </w:rPr>
              <w:t>固定资产利用率</w:t>
            </w:r>
          </w:p>
        </w:tc>
        <w:tc>
          <w:tcPr>
            <w:tcW w:w="379" w:type="pct"/>
            <w:shd w:val="clear" w:color="auto" w:fill="auto"/>
            <w:vAlign w:val="center"/>
          </w:tcPr>
          <w:p w14:paraId="14EC0B92">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222CE27F">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4388ACB0">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部门（单位）实际在用固定资产总额与所有固定资产总额的比率，用以反映和考核部门（单位）固定资产使用效率程度。</w:t>
            </w:r>
          </w:p>
        </w:tc>
        <w:tc>
          <w:tcPr>
            <w:tcW w:w="1181" w:type="pct"/>
            <w:shd w:val="clear" w:color="auto" w:fill="auto"/>
            <w:vAlign w:val="center"/>
          </w:tcPr>
          <w:p w14:paraId="7BF8AA71">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固定资产利用率=（实际在用固定资产账面总额/所有固定资产账面总额）×100%。</w:t>
            </w:r>
          </w:p>
          <w:p w14:paraId="541668FA">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评分规则：得分=固定资产利用率×分值。</w:t>
            </w:r>
          </w:p>
        </w:tc>
        <w:tc>
          <w:tcPr>
            <w:tcW w:w="942" w:type="pct"/>
            <w:shd w:val="clear" w:color="auto" w:fill="auto"/>
            <w:vAlign w:val="center"/>
          </w:tcPr>
          <w:p w14:paraId="4F96D6E2">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固定资产利用率=（实际在用固定资产账面总额147.45万元/所有固定资产账面总额147.45万元）×100%=100.00%。</w:t>
            </w:r>
          </w:p>
        </w:tc>
        <w:tc>
          <w:tcPr>
            <w:tcW w:w="259" w:type="pct"/>
            <w:shd w:val="clear" w:color="auto" w:fill="auto"/>
            <w:vAlign w:val="center"/>
          </w:tcPr>
          <w:p w14:paraId="2542C861">
            <w:pPr>
              <w:widowControl/>
              <w:adjustRightInd w:val="0"/>
              <w:snapToGrid w:val="0"/>
              <w:spacing w:line="260" w:lineRule="exact"/>
              <w:ind w:firstLine="0" w:firstLineChars="0"/>
              <w:jc w:val="center"/>
              <w:textAlignment w:val="center"/>
              <w:rPr>
                <w:rFonts w:ascii="Times New Roman" w:hAnsi="Times New Roman" w:eastAsia="仿宋" w:cs="宋体"/>
                <w:color w:val="000000"/>
                <w:sz w:val="21"/>
                <w:szCs w:val="16"/>
                <w:lang w:val="en-US" w:eastAsia="zh-CN" w:bidi="ar-SA"/>
              </w:rPr>
            </w:pPr>
            <w:r>
              <w:rPr>
                <w:rFonts w:hint="eastAsia" w:cs="宋体"/>
                <w:sz w:val="21"/>
                <w:szCs w:val="16"/>
              </w:rPr>
              <w:t>1.00</w:t>
            </w:r>
          </w:p>
        </w:tc>
      </w:tr>
      <w:tr w14:paraId="57F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6" w:type="pct"/>
            <w:vMerge w:val="continue"/>
            <w:shd w:val="clear" w:color="auto" w:fill="auto"/>
            <w:vAlign w:val="center"/>
          </w:tcPr>
          <w:p w14:paraId="0C7336E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0A9274FF">
            <w:pPr>
              <w:widowControl/>
              <w:adjustRightInd w:val="0"/>
              <w:snapToGrid w:val="0"/>
              <w:spacing w:line="260" w:lineRule="exact"/>
              <w:ind w:firstLine="0" w:firstLineChars="0"/>
              <w:jc w:val="center"/>
              <w:textAlignment w:val="center"/>
              <w:rPr>
                <w:rFonts w:hint="eastAsia" w:cs="宋体"/>
                <w:sz w:val="21"/>
                <w:szCs w:val="16"/>
              </w:rPr>
            </w:pPr>
          </w:p>
        </w:tc>
        <w:tc>
          <w:tcPr>
            <w:tcW w:w="400" w:type="pct"/>
            <w:shd w:val="clear" w:color="auto" w:fill="auto"/>
            <w:vAlign w:val="center"/>
          </w:tcPr>
          <w:p w14:paraId="7DEBFD9C">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B3</w:t>
            </w:r>
            <w:r>
              <w:rPr>
                <w:rFonts w:hint="eastAsia" w:cs="宋体"/>
                <w:sz w:val="21"/>
                <w:szCs w:val="16"/>
                <w:lang w:val="en-US" w:eastAsia="zh-CN"/>
              </w:rPr>
              <w:t>2</w:t>
            </w:r>
            <w:r>
              <w:rPr>
                <w:rFonts w:hint="eastAsia" w:cs="宋体"/>
                <w:sz w:val="21"/>
                <w:szCs w:val="16"/>
              </w:rPr>
              <w:t>资产管理制度健全性</w:t>
            </w:r>
          </w:p>
        </w:tc>
        <w:tc>
          <w:tcPr>
            <w:tcW w:w="379" w:type="pct"/>
            <w:shd w:val="clear" w:color="auto" w:fill="auto"/>
            <w:vAlign w:val="center"/>
          </w:tcPr>
          <w:p w14:paraId="1D97DAF6">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健全</w:t>
            </w:r>
          </w:p>
        </w:tc>
        <w:tc>
          <w:tcPr>
            <w:tcW w:w="230" w:type="pct"/>
            <w:shd w:val="clear" w:color="auto" w:fill="auto"/>
            <w:vAlign w:val="center"/>
          </w:tcPr>
          <w:p w14:paraId="28E09048">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6F330724">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部门（单位）为加强资产管理、规范资产管理行为而制定的管理制度是否完善，用以反映和考核部门（单位）资产管理制度对完成主要职责或促进社会发展的保障情况。</w:t>
            </w:r>
          </w:p>
        </w:tc>
        <w:tc>
          <w:tcPr>
            <w:tcW w:w="1181" w:type="pct"/>
            <w:shd w:val="clear" w:color="auto" w:fill="auto"/>
            <w:vAlign w:val="center"/>
          </w:tcPr>
          <w:p w14:paraId="3AF60B4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19C89539">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1.是否已制定或具有资产管理制度；</w:t>
            </w:r>
          </w:p>
          <w:p w14:paraId="126FCC1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2.相关资产管理制度是否合法、合规、完整。</w:t>
            </w:r>
          </w:p>
          <w:p w14:paraId="29E3DC69">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评分规则：以上要点各占1/2权重比达成得满分，未达成不得分</w:t>
            </w:r>
          </w:p>
        </w:tc>
        <w:tc>
          <w:tcPr>
            <w:tcW w:w="942" w:type="pct"/>
            <w:shd w:val="clear" w:color="auto" w:fill="auto"/>
            <w:vAlign w:val="center"/>
          </w:tcPr>
          <w:p w14:paraId="7CC2616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1.已制定的财务管理制度，达成</w:t>
            </w:r>
          </w:p>
          <w:p w14:paraId="38694B0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2.相关资产管理制度合法、健全，达成。</w:t>
            </w:r>
          </w:p>
          <w:p w14:paraId="7548E249">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p>
        </w:tc>
        <w:tc>
          <w:tcPr>
            <w:tcW w:w="259" w:type="pct"/>
            <w:shd w:val="clear" w:color="auto" w:fill="auto"/>
            <w:vAlign w:val="center"/>
          </w:tcPr>
          <w:p w14:paraId="44A466EE">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552F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76" w:type="pct"/>
            <w:vMerge w:val="continue"/>
            <w:shd w:val="clear" w:color="auto" w:fill="auto"/>
            <w:vAlign w:val="center"/>
          </w:tcPr>
          <w:p w14:paraId="68BA7DDD">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7AD7DF29">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4547915D">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B3</w:t>
            </w:r>
            <w:r>
              <w:rPr>
                <w:rFonts w:hint="eastAsia" w:cs="宋体"/>
                <w:sz w:val="21"/>
                <w:szCs w:val="16"/>
                <w:lang w:val="en-US" w:eastAsia="zh-CN"/>
              </w:rPr>
              <w:t>3</w:t>
            </w:r>
            <w:r>
              <w:rPr>
                <w:rFonts w:hint="eastAsia" w:cs="宋体"/>
                <w:sz w:val="21"/>
                <w:szCs w:val="16"/>
              </w:rPr>
              <w:t>资产管理规范性</w:t>
            </w:r>
          </w:p>
        </w:tc>
        <w:tc>
          <w:tcPr>
            <w:tcW w:w="379" w:type="pct"/>
            <w:shd w:val="clear" w:color="auto" w:fill="auto"/>
            <w:vAlign w:val="center"/>
          </w:tcPr>
          <w:p w14:paraId="372B5DA3">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规范</w:t>
            </w:r>
          </w:p>
        </w:tc>
        <w:tc>
          <w:tcPr>
            <w:tcW w:w="230" w:type="pct"/>
            <w:shd w:val="clear" w:color="auto" w:fill="auto"/>
            <w:vAlign w:val="center"/>
          </w:tcPr>
          <w:p w14:paraId="3FD8E05D">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779E5A0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部门（单位）的资产是否保存完整、使用合规、配置合理、处置规范、收入及时足额上缴，用以反映和考核部门（单位）资产安全运行情况。</w:t>
            </w:r>
          </w:p>
        </w:tc>
        <w:tc>
          <w:tcPr>
            <w:tcW w:w="1181" w:type="pct"/>
            <w:shd w:val="clear" w:color="auto" w:fill="auto"/>
            <w:vAlign w:val="center"/>
          </w:tcPr>
          <w:p w14:paraId="5E239DF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28A86794">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 xml:space="preserve"> 1.资产购置是否符合规定，新购资产入库管理是否规范（如编制采购计划、进行采购审核、验收等）；</w:t>
            </w:r>
          </w:p>
          <w:p w14:paraId="15F1490A">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2.是否定期对现有资产进行清查统计，是否账实相符；</w:t>
            </w:r>
          </w:p>
          <w:p w14:paraId="1DFD1103">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3.资产有偿使用和资产处置是否规范，所获收入是否及时足额上缴。</w:t>
            </w:r>
            <w:r>
              <w:rPr>
                <w:rFonts w:hint="eastAsia" w:cs="宋体"/>
                <w:sz w:val="21"/>
                <w:szCs w:val="16"/>
              </w:rPr>
              <w:br w:type="textWrapping"/>
            </w:r>
            <w:r>
              <w:rPr>
                <w:rFonts w:hint="eastAsia" w:cs="宋体"/>
                <w:sz w:val="21"/>
                <w:szCs w:val="16"/>
              </w:rPr>
              <w:t>评分规则：以上评价要点各占1/3分值，每个要点执行情况分为达成、部分达成、未达成三档，分别按分值的100%-80%（含）、80%-60%（含）、60%-0%合理确定分值。</w:t>
            </w:r>
          </w:p>
        </w:tc>
        <w:tc>
          <w:tcPr>
            <w:tcW w:w="942" w:type="pct"/>
            <w:shd w:val="clear" w:color="auto" w:fill="auto"/>
            <w:vAlign w:val="center"/>
          </w:tcPr>
          <w:p w14:paraId="6D88024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1.资产购置符合规定，新购资产入库管理规范（如编制采购计划、进行采购审核、验收等），达成；</w:t>
            </w:r>
          </w:p>
          <w:p w14:paraId="5D0D2D3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2.定期对现有资产进行清查统计，账实相符，达成；</w:t>
            </w:r>
          </w:p>
          <w:p w14:paraId="4F48BFEF">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3.资产有偿使用和资产处置规范，所获收入及时足额上缴，达成。</w:t>
            </w:r>
          </w:p>
        </w:tc>
        <w:tc>
          <w:tcPr>
            <w:tcW w:w="259" w:type="pct"/>
            <w:shd w:val="clear" w:color="auto" w:fill="auto"/>
            <w:vAlign w:val="center"/>
          </w:tcPr>
          <w:p w14:paraId="77358173">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1505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6" w:type="pct"/>
            <w:vMerge w:val="continue"/>
            <w:shd w:val="clear" w:color="auto" w:fill="auto"/>
            <w:vAlign w:val="center"/>
          </w:tcPr>
          <w:p w14:paraId="20A64663">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73896461">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B4项目管理（</w:t>
            </w:r>
            <w:r>
              <w:rPr>
                <w:rFonts w:hint="eastAsia" w:cs="宋体"/>
                <w:sz w:val="21"/>
                <w:szCs w:val="16"/>
                <w:lang w:val="en-US" w:eastAsia="zh-CN"/>
              </w:rPr>
              <w:t>3</w:t>
            </w:r>
            <w:r>
              <w:rPr>
                <w:rFonts w:hint="eastAsia" w:cs="宋体"/>
                <w:sz w:val="21"/>
                <w:szCs w:val="16"/>
              </w:rPr>
              <w:t>）</w:t>
            </w:r>
          </w:p>
        </w:tc>
        <w:tc>
          <w:tcPr>
            <w:tcW w:w="400" w:type="pct"/>
            <w:shd w:val="clear" w:color="auto" w:fill="auto"/>
            <w:vAlign w:val="center"/>
          </w:tcPr>
          <w:p w14:paraId="79571CDD">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B41项目管理制度健全性</w:t>
            </w:r>
          </w:p>
        </w:tc>
        <w:tc>
          <w:tcPr>
            <w:tcW w:w="379" w:type="pct"/>
            <w:shd w:val="clear" w:color="auto" w:fill="auto"/>
            <w:vAlign w:val="center"/>
          </w:tcPr>
          <w:p w14:paraId="4C12174E">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健全</w:t>
            </w:r>
          </w:p>
        </w:tc>
        <w:tc>
          <w:tcPr>
            <w:tcW w:w="230" w:type="pct"/>
            <w:shd w:val="clear" w:color="auto" w:fill="auto"/>
            <w:noWrap/>
            <w:vAlign w:val="center"/>
          </w:tcPr>
          <w:p w14:paraId="22FFEF1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171134F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部门（单位）项目管理制度是否健全，用以反映和考核部门（单位）项目管理制度对项目顺利实施的保障情况。</w:t>
            </w:r>
          </w:p>
        </w:tc>
        <w:tc>
          <w:tcPr>
            <w:tcW w:w="1181" w:type="pct"/>
            <w:shd w:val="clear" w:color="auto" w:fill="auto"/>
            <w:vAlign w:val="center"/>
          </w:tcPr>
          <w:p w14:paraId="3F54710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115CF2F4">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1.是否已制定或具有相应的项目管理制度；</w:t>
            </w:r>
          </w:p>
          <w:p w14:paraId="53B25757">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2.项目管理制度是否合法、合规、完整。</w:t>
            </w:r>
          </w:p>
          <w:p w14:paraId="7C4AF91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614A785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1.已制定相应的项目管理制度，如《南京市农村供销合作服务体系建设专项资金管理办法》等，达成；</w:t>
            </w:r>
          </w:p>
          <w:p w14:paraId="021483A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2.项目管理制度合法、合规、完整，达成。</w:t>
            </w:r>
          </w:p>
        </w:tc>
        <w:tc>
          <w:tcPr>
            <w:tcW w:w="259" w:type="pct"/>
            <w:shd w:val="clear" w:color="auto" w:fill="auto"/>
            <w:vAlign w:val="center"/>
          </w:tcPr>
          <w:p w14:paraId="5DB56651">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5BC3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5829C71A">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241669E1">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6F44897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B42项目管理制度执行规范性</w:t>
            </w:r>
          </w:p>
        </w:tc>
        <w:tc>
          <w:tcPr>
            <w:tcW w:w="379" w:type="pct"/>
            <w:shd w:val="clear" w:color="auto" w:fill="auto"/>
            <w:vAlign w:val="center"/>
          </w:tcPr>
          <w:p w14:paraId="3AFE80B9">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规范</w:t>
            </w:r>
          </w:p>
        </w:tc>
        <w:tc>
          <w:tcPr>
            <w:tcW w:w="230" w:type="pct"/>
            <w:shd w:val="clear" w:color="auto" w:fill="auto"/>
            <w:noWrap/>
            <w:vAlign w:val="center"/>
          </w:tcPr>
          <w:p w14:paraId="02CC1C8E">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2</w:t>
            </w:r>
          </w:p>
        </w:tc>
        <w:tc>
          <w:tcPr>
            <w:tcW w:w="780" w:type="pct"/>
            <w:shd w:val="clear" w:color="auto" w:fill="auto"/>
            <w:vAlign w:val="center"/>
          </w:tcPr>
          <w:p w14:paraId="5CF32229">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项目实施是否符合相关管理规定，用以反映和考核相关管理制度的规范执行情况。</w:t>
            </w:r>
          </w:p>
        </w:tc>
        <w:tc>
          <w:tcPr>
            <w:tcW w:w="1181" w:type="pct"/>
            <w:shd w:val="clear" w:color="auto" w:fill="auto"/>
            <w:vAlign w:val="center"/>
          </w:tcPr>
          <w:p w14:paraId="6BC78DC3">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79B3B33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1.项目管理工作机制是否健全，沟通协调是否顺畅；</w:t>
            </w:r>
          </w:p>
          <w:p w14:paraId="2600066A">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2.项目是否按照要求规范严格地执行制度，包括可行性论证、概算、预算、施工设计、资金拨付、组织申报、政府采购、招投标、监理、中期检查、竣工验收、公开公示等。</w:t>
            </w:r>
          </w:p>
          <w:p w14:paraId="1BD705E8">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343E93F7">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1.项目管理工作机制健全，沟通协调顺畅，达成；</w:t>
            </w:r>
          </w:p>
          <w:p w14:paraId="0DDF9A55">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2.项目按照要求规范严格地执行制度，包括可行性论证、概算、预算、施工设计、资金拨付、组织申报、政府采购、招投标、监理、中期检查、竣工验收、公开公示等，达成。</w:t>
            </w:r>
          </w:p>
        </w:tc>
        <w:tc>
          <w:tcPr>
            <w:tcW w:w="259" w:type="pct"/>
            <w:shd w:val="clear" w:color="auto" w:fill="auto"/>
            <w:vAlign w:val="center"/>
          </w:tcPr>
          <w:p w14:paraId="47B8943D">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357A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76" w:type="pct"/>
            <w:vMerge w:val="continue"/>
            <w:shd w:val="clear" w:color="auto" w:fill="auto"/>
            <w:vAlign w:val="center"/>
          </w:tcPr>
          <w:p w14:paraId="692585F5">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01A6B06A">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B5人员管理（3）</w:t>
            </w:r>
          </w:p>
        </w:tc>
        <w:tc>
          <w:tcPr>
            <w:tcW w:w="400" w:type="pct"/>
            <w:shd w:val="clear" w:color="auto" w:fill="auto"/>
            <w:vAlign w:val="center"/>
          </w:tcPr>
          <w:p w14:paraId="795C6BCF">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B51人员管理制度健全性</w:t>
            </w:r>
          </w:p>
        </w:tc>
        <w:tc>
          <w:tcPr>
            <w:tcW w:w="379" w:type="pct"/>
            <w:shd w:val="clear" w:color="auto" w:fill="auto"/>
            <w:vAlign w:val="center"/>
          </w:tcPr>
          <w:p w14:paraId="7426A83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健全</w:t>
            </w:r>
          </w:p>
        </w:tc>
        <w:tc>
          <w:tcPr>
            <w:tcW w:w="230" w:type="pct"/>
            <w:shd w:val="clear" w:color="auto" w:fill="auto"/>
            <w:noWrap/>
            <w:vAlign w:val="center"/>
          </w:tcPr>
          <w:p w14:paraId="2AD78B15">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4EF305C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部门（单位）人员管理制度是否健全，用以反映和考核部门（单位）人员管理制度对部门正常运行、履职的保障情况。</w:t>
            </w:r>
          </w:p>
        </w:tc>
        <w:tc>
          <w:tcPr>
            <w:tcW w:w="1181" w:type="pct"/>
            <w:shd w:val="clear" w:color="auto" w:fill="auto"/>
            <w:vAlign w:val="center"/>
          </w:tcPr>
          <w:p w14:paraId="49E08D4C">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72ED53E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1.有明确的组织架构和职责分工；</w:t>
            </w:r>
          </w:p>
          <w:p w14:paraId="303B1076">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2.人员配备是否充足，是否能够保障单位履职需要；</w:t>
            </w:r>
          </w:p>
          <w:p w14:paraId="7114919E">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3.是否存在以政府购买服务变相用工情况。</w:t>
            </w:r>
          </w:p>
          <w:p w14:paraId="34A0CE3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评分规则：以上评价要点各占1/3分值，每个要点执行情况分为达成、部分达成、未达成三档，分别按分值的100%-80%（含）、80%-60%（含）、60%-0%合理确定分值。</w:t>
            </w:r>
          </w:p>
        </w:tc>
        <w:tc>
          <w:tcPr>
            <w:tcW w:w="942" w:type="pct"/>
            <w:shd w:val="clear" w:color="auto" w:fill="auto"/>
            <w:vAlign w:val="center"/>
          </w:tcPr>
          <w:p w14:paraId="420985A5">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1.有明确的组织架构和职责分工，达成；</w:t>
            </w:r>
          </w:p>
          <w:p w14:paraId="0E021F7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2.人员配备充足，能够保障单位履职需要，达成；</w:t>
            </w:r>
          </w:p>
          <w:p w14:paraId="0A9E905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3.不存在以政府购买服务变相用工情况，达成。</w:t>
            </w:r>
          </w:p>
        </w:tc>
        <w:tc>
          <w:tcPr>
            <w:tcW w:w="259" w:type="pct"/>
            <w:shd w:val="clear" w:color="auto" w:fill="auto"/>
            <w:vAlign w:val="center"/>
          </w:tcPr>
          <w:p w14:paraId="2D0AC096">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586D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52E8AF45">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9AC35E5">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264D13D1">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B52人员管理制度执行有效性</w:t>
            </w:r>
          </w:p>
        </w:tc>
        <w:tc>
          <w:tcPr>
            <w:tcW w:w="379" w:type="pct"/>
            <w:shd w:val="clear" w:color="auto" w:fill="auto"/>
            <w:vAlign w:val="center"/>
          </w:tcPr>
          <w:p w14:paraId="1C5F547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有效</w:t>
            </w:r>
          </w:p>
        </w:tc>
        <w:tc>
          <w:tcPr>
            <w:tcW w:w="230" w:type="pct"/>
            <w:shd w:val="clear" w:color="auto" w:fill="auto"/>
            <w:vAlign w:val="center"/>
          </w:tcPr>
          <w:p w14:paraId="5B929401">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7CF692BA">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部门（单位）人员管理是否符合相关管理规定，用以反映和考核人力资源管理制度执行的有效性情况。</w:t>
            </w:r>
          </w:p>
        </w:tc>
        <w:tc>
          <w:tcPr>
            <w:tcW w:w="1181" w:type="pct"/>
            <w:shd w:val="clear" w:color="auto" w:fill="auto"/>
            <w:vAlign w:val="center"/>
          </w:tcPr>
          <w:p w14:paraId="5BA8C9CD">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71BC80D9">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1.年终组织个人、处（科）室考核，实施程序规范、资料完整；</w:t>
            </w:r>
          </w:p>
          <w:p w14:paraId="0787707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2.考核结果切实运用。</w:t>
            </w:r>
          </w:p>
          <w:p w14:paraId="3B7EABB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742BD080">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1.年终组织个人、处（科）室考核，实施程序规范、资料完整，达成；</w:t>
            </w:r>
          </w:p>
          <w:p w14:paraId="4737E46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2.考核结果切实运用，达成。</w:t>
            </w:r>
          </w:p>
        </w:tc>
        <w:tc>
          <w:tcPr>
            <w:tcW w:w="259" w:type="pct"/>
            <w:shd w:val="clear" w:color="auto" w:fill="auto"/>
            <w:vAlign w:val="center"/>
          </w:tcPr>
          <w:p w14:paraId="34995E43">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4634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76" w:type="pct"/>
            <w:vMerge w:val="continue"/>
            <w:shd w:val="clear" w:color="auto" w:fill="auto"/>
            <w:vAlign w:val="center"/>
          </w:tcPr>
          <w:p w14:paraId="262D1D18">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33BF6555">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7E86E893">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B53在职人员控制率</w:t>
            </w:r>
          </w:p>
        </w:tc>
        <w:tc>
          <w:tcPr>
            <w:tcW w:w="379" w:type="pct"/>
            <w:shd w:val="clear" w:color="auto" w:fill="auto"/>
            <w:vAlign w:val="center"/>
          </w:tcPr>
          <w:p w14:paraId="4575B1F5">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≤100%</w:t>
            </w:r>
          </w:p>
        </w:tc>
        <w:tc>
          <w:tcPr>
            <w:tcW w:w="230" w:type="pct"/>
            <w:shd w:val="clear" w:color="auto" w:fill="auto"/>
            <w:vAlign w:val="center"/>
          </w:tcPr>
          <w:p w14:paraId="2091D98B">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1</w:t>
            </w:r>
          </w:p>
        </w:tc>
        <w:tc>
          <w:tcPr>
            <w:tcW w:w="780" w:type="pct"/>
            <w:shd w:val="clear" w:color="auto" w:fill="auto"/>
            <w:vAlign w:val="center"/>
          </w:tcPr>
          <w:p w14:paraId="48E5E2A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部门（单位）本年度实际在职人员数与编制数的比率，用以反映和考核部门（单位）对人员成本的控制程度。</w:t>
            </w:r>
          </w:p>
        </w:tc>
        <w:tc>
          <w:tcPr>
            <w:tcW w:w="1181" w:type="pct"/>
            <w:shd w:val="clear" w:color="auto" w:fill="auto"/>
            <w:vAlign w:val="center"/>
          </w:tcPr>
          <w:p w14:paraId="3746196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在职人员控制率=（在职人员数/编制数）×100%。在职人员数：部门（单位）实际在职人数，以财政部确定的部门决算编制口径为准。编制数：机构编制部门核定批复的部门（单位）的人员编制数。</w:t>
            </w:r>
          </w:p>
          <w:p w14:paraId="2758F94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评分规则：1.比率≤100%,得满分；2.比率&gt;100%,每增加1%,扣5%的权重分，扣完为止。</w:t>
            </w:r>
          </w:p>
        </w:tc>
        <w:tc>
          <w:tcPr>
            <w:tcW w:w="942" w:type="pct"/>
            <w:shd w:val="clear" w:color="auto" w:fill="auto"/>
            <w:vAlign w:val="center"/>
          </w:tcPr>
          <w:p w14:paraId="2E371BDB">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在职人员控制率=（在职人员数4</w:t>
            </w:r>
            <w:r>
              <w:rPr>
                <w:rFonts w:cs="宋体"/>
                <w:sz w:val="21"/>
                <w:szCs w:val="16"/>
              </w:rPr>
              <w:t>2</w:t>
            </w:r>
            <w:r>
              <w:rPr>
                <w:rFonts w:hint="eastAsia" w:cs="宋体"/>
                <w:sz w:val="21"/>
                <w:szCs w:val="16"/>
              </w:rPr>
              <w:t>人/编制数43人）×100%=9</w:t>
            </w:r>
            <w:r>
              <w:rPr>
                <w:rFonts w:cs="宋体"/>
                <w:sz w:val="21"/>
                <w:szCs w:val="16"/>
              </w:rPr>
              <w:t>8</w:t>
            </w:r>
            <w:r>
              <w:rPr>
                <w:rFonts w:hint="eastAsia" w:cs="宋体"/>
                <w:sz w:val="21"/>
                <w:szCs w:val="16"/>
              </w:rPr>
              <w:t>%。</w:t>
            </w:r>
          </w:p>
        </w:tc>
        <w:tc>
          <w:tcPr>
            <w:tcW w:w="259" w:type="pct"/>
            <w:shd w:val="clear" w:color="auto" w:fill="auto"/>
            <w:vAlign w:val="center"/>
          </w:tcPr>
          <w:p w14:paraId="35805E69">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48F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06BD23C6">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7F746052">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B6机构建设（3）</w:t>
            </w:r>
          </w:p>
        </w:tc>
        <w:tc>
          <w:tcPr>
            <w:tcW w:w="400" w:type="pct"/>
            <w:shd w:val="clear" w:color="auto" w:fill="auto"/>
            <w:vAlign w:val="center"/>
          </w:tcPr>
          <w:p w14:paraId="67443D71">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B6</w:t>
            </w:r>
            <w:r>
              <w:rPr>
                <w:rFonts w:hint="eastAsia" w:cs="宋体"/>
                <w:sz w:val="21"/>
                <w:szCs w:val="16"/>
                <w:lang w:val="en-US" w:eastAsia="zh-CN"/>
              </w:rPr>
              <w:t>1</w:t>
            </w:r>
            <w:r>
              <w:rPr>
                <w:rFonts w:hint="eastAsia" w:cs="宋体"/>
                <w:sz w:val="21"/>
                <w:szCs w:val="16"/>
              </w:rPr>
              <w:t>业务学习与培训及时完成率</w:t>
            </w:r>
          </w:p>
        </w:tc>
        <w:tc>
          <w:tcPr>
            <w:tcW w:w="379" w:type="pct"/>
            <w:shd w:val="clear" w:color="auto" w:fill="auto"/>
            <w:vAlign w:val="center"/>
          </w:tcPr>
          <w:p w14:paraId="119B180F">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61DFE002">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57237883">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部门（单位）为履行职责而实际及时完成的业务学习与培训数与计划工作数的比率，用以反映和考核部门（单位）业务学习与培训工作完成情况。</w:t>
            </w:r>
          </w:p>
        </w:tc>
        <w:tc>
          <w:tcPr>
            <w:tcW w:w="1181" w:type="pct"/>
            <w:shd w:val="clear" w:color="auto" w:fill="auto"/>
            <w:vAlign w:val="center"/>
          </w:tcPr>
          <w:p w14:paraId="61600452">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业务学习与培训及时完成率=（实际及时完成的业务学习与培训数/计划业务学习与培训数）×100%。</w:t>
            </w:r>
          </w:p>
          <w:p w14:paraId="435636B0">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评分规则：得分=业务学习与培训及时完成率×分值。</w:t>
            </w:r>
          </w:p>
        </w:tc>
        <w:tc>
          <w:tcPr>
            <w:tcW w:w="942" w:type="pct"/>
            <w:shd w:val="clear" w:color="auto" w:fill="auto"/>
            <w:vAlign w:val="center"/>
          </w:tcPr>
          <w:p w14:paraId="6146EACE">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业务学习与培训及时完成率=（实际及时完成的业务学习与培训数5次/计划业务学习与培训数4次）×100%=1</w:t>
            </w:r>
            <w:r>
              <w:rPr>
                <w:rFonts w:cs="宋体"/>
                <w:sz w:val="21"/>
                <w:szCs w:val="16"/>
              </w:rPr>
              <w:t>25</w:t>
            </w:r>
            <w:r>
              <w:rPr>
                <w:rFonts w:hint="eastAsia" w:cs="宋体"/>
                <w:sz w:val="21"/>
                <w:szCs w:val="16"/>
              </w:rPr>
              <w:t>%。</w:t>
            </w:r>
          </w:p>
        </w:tc>
        <w:tc>
          <w:tcPr>
            <w:tcW w:w="259" w:type="pct"/>
            <w:shd w:val="clear" w:color="auto" w:fill="auto"/>
            <w:vAlign w:val="center"/>
          </w:tcPr>
          <w:p w14:paraId="76F9CF0B">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5A3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38D1CF20">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20E4B716">
            <w:pPr>
              <w:widowControl/>
              <w:adjustRightInd w:val="0"/>
              <w:snapToGrid w:val="0"/>
              <w:spacing w:line="260" w:lineRule="exact"/>
              <w:ind w:firstLine="0" w:firstLineChars="0"/>
              <w:jc w:val="center"/>
              <w:textAlignment w:val="center"/>
              <w:rPr>
                <w:rFonts w:hint="eastAsia" w:cs="宋体"/>
                <w:sz w:val="21"/>
                <w:szCs w:val="16"/>
              </w:rPr>
            </w:pPr>
          </w:p>
        </w:tc>
        <w:tc>
          <w:tcPr>
            <w:tcW w:w="400" w:type="pct"/>
            <w:shd w:val="clear" w:color="auto" w:fill="auto"/>
            <w:vAlign w:val="center"/>
          </w:tcPr>
          <w:p w14:paraId="725C2FB3">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B6</w:t>
            </w:r>
            <w:r>
              <w:rPr>
                <w:rFonts w:hint="eastAsia" w:cs="宋体"/>
                <w:sz w:val="21"/>
                <w:szCs w:val="16"/>
                <w:lang w:val="en-US" w:eastAsia="zh-CN"/>
              </w:rPr>
              <w:t>2</w:t>
            </w:r>
            <w:r>
              <w:rPr>
                <w:rFonts w:hint="eastAsia" w:cs="宋体"/>
                <w:sz w:val="21"/>
                <w:szCs w:val="16"/>
              </w:rPr>
              <w:t>纪检监察工作有效性</w:t>
            </w:r>
          </w:p>
        </w:tc>
        <w:tc>
          <w:tcPr>
            <w:tcW w:w="379" w:type="pct"/>
            <w:shd w:val="clear" w:color="auto" w:fill="auto"/>
            <w:vAlign w:val="center"/>
          </w:tcPr>
          <w:p w14:paraId="11F8E013">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有效</w:t>
            </w:r>
          </w:p>
        </w:tc>
        <w:tc>
          <w:tcPr>
            <w:tcW w:w="230" w:type="pct"/>
            <w:shd w:val="clear" w:color="auto" w:fill="auto"/>
            <w:vAlign w:val="center"/>
          </w:tcPr>
          <w:p w14:paraId="27C1CB6A">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4425CFCF">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部门（单位）为履行职责而开展的纪检监察工作的有效性情况，用以反映和考核部门（单位）纪检监察工作对部门正常运行和职责履行的保障作用。</w:t>
            </w:r>
          </w:p>
        </w:tc>
        <w:tc>
          <w:tcPr>
            <w:tcW w:w="1181" w:type="pct"/>
            <w:shd w:val="clear" w:color="auto" w:fill="auto"/>
            <w:vAlign w:val="center"/>
          </w:tcPr>
          <w:p w14:paraId="2A129514">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评价要点：</w:t>
            </w:r>
          </w:p>
          <w:p w14:paraId="0375877B">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1.纪检监督工作实施程序规范、相关资料完整；</w:t>
            </w:r>
          </w:p>
          <w:p w14:paraId="57B2797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2.纪检监督结果切实运用。</w:t>
            </w:r>
          </w:p>
          <w:p w14:paraId="6D495546">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39250EFF">
            <w:pPr>
              <w:widowControl/>
              <w:adjustRightInd w:val="0"/>
              <w:snapToGrid w:val="0"/>
              <w:spacing w:line="260" w:lineRule="exact"/>
              <w:ind w:firstLine="0" w:firstLineChars="0"/>
              <w:textAlignment w:val="center"/>
              <w:rPr>
                <w:rFonts w:hint="eastAsia" w:cs="宋体"/>
                <w:sz w:val="21"/>
                <w:szCs w:val="16"/>
              </w:rPr>
            </w:pPr>
            <w:r>
              <w:rPr>
                <w:rFonts w:hint="eastAsia" w:cs="宋体"/>
                <w:sz w:val="21"/>
                <w:szCs w:val="16"/>
              </w:rPr>
              <w:t>1.纪检监督工作实施程序规范、相关资料完整，达成；</w:t>
            </w:r>
          </w:p>
          <w:p w14:paraId="035C83C1">
            <w:pPr>
              <w:widowControl/>
              <w:adjustRightInd w:val="0"/>
              <w:snapToGrid w:val="0"/>
              <w:spacing w:line="260" w:lineRule="exact"/>
              <w:ind w:firstLine="0" w:firstLineChars="0"/>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2.纪检监督结果切实运用，达成。</w:t>
            </w:r>
          </w:p>
        </w:tc>
        <w:tc>
          <w:tcPr>
            <w:tcW w:w="259" w:type="pct"/>
            <w:shd w:val="clear" w:color="auto" w:fill="auto"/>
            <w:vAlign w:val="center"/>
          </w:tcPr>
          <w:p w14:paraId="19287638">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lang w:val="en-US" w:eastAsia="zh-CN" w:bidi="ar-SA"/>
              </w:rPr>
            </w:pPr>
            <w:r>
              <w:rPr>
                <w:rFonts w:hint="eastAsia" w:cs="宋体"/>
                <w:sz w:val="21"/>
                <w:szCs w:val="16"/>
              </w:rPr>
              <w:t>1.00</w:t>
            </w:r>
          </w:p>
        </w:tc>
      </w:tr>
      <w:tr w14:paraId="77AC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7432D228">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47455FD6">
            <w:pPr>
              <w:widowControl/>
              <w:adjustRightInd w:val="0"/>
              <w:snapToGrid w:val="0"/>
              <w:spacing w:line="260" w:lineRule="exact"/>
              <w:ind w:firstLine="0" w:firstLineChars="0"/>
              <w:jc w:val="center"/>
              <w:rPr>
                <w:rFonts w:cs="宋体"/>
                <w:kern w:val="2"/>
                <w:sz w:val="21"/>
                <w:szCs w:val="16"/>
              </w:rPr>
            </w:pPr>
          </w:p>
        </w:tc>
        <w:tc>
          <w:tcPr>
            <w:tcW w:w="400" w:type="pct"/>
            <w:shd w:val="clear" w:color="auto" w:fill="auto"/>
            <w:vAlign w:val="center"/>
          </w:tcPr>
          <w:p w14:paraId="27EF5ECA">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B6</w:t>
            </w:r>
            <w:r>
              <w:rPr>
                <w:rFonts w:hint="eastAsia" w:cs="宋体"/>
                <w:sz w:val="21"/>
                <w:szCs w:val="16"/>
                <w:lang w:val="en-US" w:eastAsia="zh-CN"/>
              </w:rPr>
              <w:t>3</w:t>
            </w:r>
            <w:r>
              <w:rPr>
                <w:rFonts w:hint="eastAsia" w:cs="宋体"/>
                <w:sz w:val="21"/>
                <w:szCs w:val="16"/>
              </w:rPr>
              <w:t>组织建设工作及时完成率</w:t>
            </w:r>
          </w:p>
        </w:tc>
        <w:tc>
          <w:tcPr>
            <w:tcW w:w="379" w:type="pct"/>
            <w:shd w:val="clear" w:color="auto" w:fill="auto"/>
            <w:vAlign w:val="center"/>
          </w:tcPr>
          <w:p w14:paraId="5581C34A">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100%</w:t>
            </w:r>
          </w:p>
        </w:tc>
        <w:tc>
          <w:tcPr>
            <w:tcW w:w="230" w:type="pct"/>
            <w:shd w:val="clear" w:color="auto" w:fill="auto"/>
            <w:vAlign w:val="center"/>
          </w:tcPr>
          <w:p w14:paraId="210DAF59">
            <w:pPr>
              <w:widowControl/>
              <w:adjustRightInd w:val="0"/>
              <w:snapToGrid w:val="0"/>
              <w:spacing w:line="260" w:lineRule="exact"/>
              <w:ind w:firstLine="0" w:firstLineChars="0"/>
              <w:jc w:val="center"/>
              <w:textAlignment w:val="center"/>
              <w:rPr>
                <w:rFonts w:ascii="Times New Roman" w:hAnsi="Times New Roman" w:eastAsia="仿宋" w:cs="宋体"/>
                <w:color w:val="000000"/>
                <w:kern w:val="2"/>
                <w:sz w:val="21"/>
                <w:szCs w:val="16"/>
                <w:lang w:val="en-US" w:eastAsia="zh-CN" w:bidi="ar-SA"/>
              </w:rPr>
            </w:pPr>
            <w:r>
              <w:rPr>
                <w:rFonts w:hint="eastAsia" w:cs="宋体"/>
                <w:sz w:val="21"/>
                <w:szCs w:val="16"/>
              </w:rPr>
              <w:t>1</w:t>
            </w:r>
          </w:p>
        </w:tc>
        <w:tc>
          <w:tcPr>
            <w:tcW w:w="780" w:type="pct"/>
            <w:shd w:val="clear" w:color="auto" w:fill="auto"/>
            <w:vAlign w:val="center"/>
          </w:tcPr>
          <w:p w14:paraId="22C25017">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部门（单位）为履行职责而实际及时完成的组织建设工作数与计划工作数的比率，用以反映和考核部门（单位）组织建设工作完成情况。</w:t>
            </w:r>
          </w:p>
        </w:tc>
        <w:tc>
          <w:tcPr>
            <w:tcW w:w="1181" w:type="pct"/>
            <w:shd w:val="clear" w:color="auto" w:fill="auto"/>
            <w:vAlign w:val="center"/>
          </w:tcPr>
          <w:p w14:paraId="7633B29D">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组织建设工作完成率=（实际及时完成的组织建设工作数/计划组织建设工作数）×100%。</w:t>
            </w:r>
            <w:r>
              <w:rPr>
                <w:rFonts w:hint="eastAsia" w:cs="宋体"/>
                <w:sz w:val="21"/>
                <w:szCs w:val="16"/>
              </w:rPr>
              <w:br w:type="textWrapping"/>
            </w:r>
            <w:r>
              <w:rPr>
                <w:rFonts w:hint="eastAsia" w:cs="宋体"/>
                <w:sz w:val="21"/>
                <w:szCs w:val="16"/>
              </w:rPr>
              <w:t>评分规则：得分=组织建设工作完成率×分值。</w:t>
            </w:r>
          </w:p>
        </w:tc>
        <w:tc>
          <w:tcPr>
            <w:tcW w:w="942" w:type="pct"/>
            <w:shd w:val="clear" w:color="auto" w:fill="auto"/>
            <w:vAlign w:val="center"/>
          </w:tcPr>
          <w:p w14:paraId="5EA66E7C">
            <w:pPr>
              <w:widowControl/>
              <w:adjustRightInd w:val="0"/>
              <w:snapToGrid w:val="0"/>
              <w:spacing w:line="260" w:lineRule="exact"/>
              <w:ind w:firstLine="0" w:firstLineChars="0"/>
              <w:textAlignment w:val="center"/>
              <w:rPr>
                <w:rFonts w:ascii="Times New Roman" w:hAnsi="Times New Roman" w:eastAsia="仿宋" w:cs="宋体"/>
                <w:color w:val="000000"/>
                <w:sz w:val="21"/>
                <w:szCs w:val="16"/>
                <w:lang w:val="en-US" w:eastAsia="zh-CN" w:bidi="ar-SA"/>
              </w:rPr>
            </w:pPr>
            <w:r>
              <w:rPr>
                <w:rFonts w:hint="eastAsia" w:cs="宋体"/>
                <w:sz w:val="21"/>
                <w:szCs w:val="16"/>
              </w:rPr>
              <w:t>有明确计划组织建设工作次数，实际完成主题党日、“三会一课”、组织生活会等166次。</w:t>
            </w:r>
          </w:p>
        </w:tc>
        <w:tc>
          <w:tcPr>
            <w:tcW w:w="259" w:type="pct"/>
            <w:shd w:val="clear" w:color="auto" w:fill="auto"/>
            <w:vAlign w:val="center"/>
          </w:tcPr>
          <w:p w14:paraId="43E30859">
            <w:pPr>
              <w:widowControl/>
              <w:adjustRightInd w:val="0"/>
              <w:snapToGrid w:val="0"/>
              <w:spacing w:line="260" w:lineRule="exact"/>
              <w:ind w:firstLine="0" w:firstLineChars="0"/>
              <w:jc w:val="center"/>
              <w:textAlignment w:val="center"/>
              <w:rPr>
                <w:rFonts w:ascii="Times New Roman" w:hAnsi="Times New Roman" w:eastAsia="仿宋" w:cs="宋体"/>
                <w:color w:val="000000"/>
                <w:sz w:val="21"/>
                <w:szCs w:val="16"/>
                <w:lang w:val="en-US" w:eastAsia="zh-CN" w:bidi="ar-SA"/>
              </w:rPr>
            </w:pPr>
            <w:r>
              <w:rPr>
                <w:rFonts w:hint="eastAsia" w:cs="宋体"/>
                <w:sz w:val="21"/>
                <w:szCs w:val="16"/>
              </w:rPr>
              <w:t>1.00</w:t>
            </w:r>
          </w:p>
        </w:tc>
      </w:tr>
      <w:tr w14:paraId="3A9B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76" w:type="pct"/>
            <w:vMerge w:val="restart"/>
            <w:shd w:val="clear" w:color="auto" w:fill="auto"/>
            <w:vAlign w:val="center"/>
          </w:tcPr>
          <w:p w14:paraId="4FA683A0">
            <w:pPr>
              <w:widowControl/>
              <w:adjustRightInd w:val="0"/>
              <w:snapToGrid w:val="0"/>
              <w:spacing w:line="260" w:lineRule="exact"/>
              <w:ind w:firstLine="0" w:firstLineChars="0"/>
              <w:jc w:val="center"/>
              <w:textAlignment w:val="center"/>
              <w:rPr>
                <w:rFonts w:cs="宋体"/>
                <w:kern w:val="2"/>
                <w:sz w:val="21"/>
                <w:szCs w:val="16"/>
              </w:rPr>
            </w:pPr>
            <w:r>
              <w:rPr>
                <w:rFonts w:hint="eastAsia" w:cs="宋体"/>
                <w:sz w:val="21"/>
                <w:szCs w:val="16"/>
              </w:rPr>
              <w:t>C履职（</w:t>
            </w:r>
            <w:r>
              <w:rPr>
                <w:rFonts w:hint="eastAsia" w:cs="宋体"/>
                <w:sz w:val="21"/>
                <w:szCs w:val="16"/>
                <w:lang w:val="en-US" w:eastAsia="zh-CN"/>
              </w:rPr>
              <w:t>37</w:t>
            </w:r>
            <w:r>
              <w:rPr>
                <w:rFonts w:hint="eastAsia" w:cs="宋体"/>
                <w:sz w:val="21"/>
                <w:szCs w:val="16"/>
              </w:rPr>
              <w:t>）</w:t>
            </w:r>
          </w:p>
        </w:tc>
        <w:tc>
          <w:tcPr>
            <w:tcW w:w="551" w:type="pct"/>
            <w:vMerge w:val="restart"/>
            <w:shd w:val="clear" w:color="auto" w:fill="auto"/>
            <w:vAlign w:val="center"/>
          </w:tcPr>
          <w:p w14:paraId="788B0A73">
            <w:pPr>
              <w:widowControl/>
              <w:adjustRightInd w:val="0"/>
              <w:snapToGrid w:val="0"/>
              <w:spacing w:line="260" w:lineRule="exact"/>
              <w:ind w:firstLine="0" w:firstLineChars="0"/>
              <w:textAlignment w:val="center"/>
              <w:rPr>
                <w:rFonts w:cs="宋体"/>
                <w:color w:val="auto"/>
                <w:kern w:val="2"/>
                <w:sz w:val="21"/>
                <w:szCs w:val="16"/>
                <w:highlight w:val="none"/>
              </w:rPr>
            </w:pPr>
            <w:r>
              <w:rPr>
                <w:rFonts w:hint="eastAsia" w:cs="宋体"/>
                <w:color w:val="auto"/>
                <w:sz w:val="21"/>
                <w:szCs w:val="16"/>
                <w:highlight w:val="none"/>
              </w:rPr>
              <w:t>C1办公设备购置（3）</w:t>
            </w:r>
          </w:p>
        </w:tc>
        <w:tc>
          <w:tcPr>
            <w:tcW w:w="400" w:type="pct"/>
            <w:shd w:val="clear" w:color="auto" w:fill="auto"/>
            <w:vAlign w:val="center"/>
          </w:tcPr>
          <w:p w14:paraId="7BD0C16E">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C11采购设备数量</w:t>
            </w:r>
          </w:p>
        </w:tc>
        <w:tc>
          <w:tcPr>
            <w:tcW w:w="379" w:type="pct"/>
            <w:shd w:val="clear" w:color="auto" w:fill="auto"/>
            <w:vAlign w:val="center"/>
          </w:tcPr>
          <w:p w14:paraId="2634BA3D">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30件</w:t>
            </w:r>
          </w:p>
        </w:tc>
        <w:tc>
          <w:tcPr>
            <w:tcW w:w="230" w:type="pct"/>
            <w:shd w:val="clear" w:color="auto" w:fill="auto"/>
            <w:vAlign w:val="center"/>
          </w:tcPr>
          <w:p w14:paraId="326E15E2">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56838805">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考察设备采购数量情况，反映履职目标的实现程度。</w:t>
            </w:r>
          </w:p>
        </w:tc>
        <w:tc>
          <w:tcPr>
            <w:tcW w:w="1181" w:type="pct"/>
            <w:shd w:val="clear" w:color="auto" w:fill="auto"/>
            <w:vAlign w:val="center"/>
          </w:tcPr>
          <w:p w14:paraId="0F373632">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评分规则：实际完成值达到标准值得满分，超过标准值30件的每增加1件扣5%权重分，未达到标准值的每减少1件扣2%权重分。</w:t>
            </w:r>
          </w:p>
        </w:tc>
        <w:tc>
          <w:tcPr>
            <w:tcW w:w="942" w:type="pct"/>
            <w:shd w:val="clear" w:color="auto" w:fill="auto"/>
            <w:vAlign w:val="center"/>
          </w:tcPr>
          <w:p w14:paraId="5C8ABA3D">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根据固定资产管理台账，2024年采购设备24件，比标准值少6件，扣0.12分。</w:t>
            </w:r>
          </w:p>
        </w:tc>
        <w:tc>
          <w:tcPr>
            <w:tcW w:w="259" w:type="pct"/>
            <w:shd w:val="clear" w:color="auto" w:fill="auto"/>
            <w:vAlign w:val="center"/>
          </w:tcPr>
          <w:p w14:paraId="7B3BE056">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0.88</w:t>
            </w:r>
          </w:p>
        </w:tc>
      </w:tr>
      <w:tr w14:paraId="459F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76" w:type="pct"/>
            <w:vMerge w:val="continue"/>
            <w:shd w:val="clear" w:color="auto" w:fill="auto"/>
            <w:vAlign w:val="center"/>
          </w:tcPr>
          <w:p w14:paraId="094074CD">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2E442398">
            <w:pPr>
              <w:widowControl/>
              <w:adjustRightInd w:val="0"/>
              <w:snapToGrid w:val="0"/>
              <w:spacing w:line="260" w:lineRule="exact"/>
              <w:ind w:firstLine="0" w:firstLineChars="0"/>
              <w:jc w:val="left"/>
              <w:rPr>
                <w:rFonts w:cs="宋体"/>
                <w:color w:val="auto"/>
                <w:kern w:val="2"/>
                <w:sz w:val="21"/>
                <w:szCs w:val="16"/>
                <w:highlight w:val="none"/>
              </w:rPr>
            </w:pPr>
          </w:p>
        </w:tc>
        <w:tc>
          <w:tcPr>
            <w:tcW w:w="400" w:type="pct"/>
            <w:shd w:val="clear" w:color="auto" w:fill="auto"/>
            <w:vAlign w:val="center"/>
          </w:tcPr>
          <w:p w14:paraId="089F0092">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C12采购设备合格率</w:t>
            </w:r>
          </w:p>
        </w:tc>
        <w:tc>
          <w:tcPr>
            <w:tcW w:w="379" w:type="pct"/>
            <w:shd w:val="clear" w:color="auto" w:fill="auto"/>
            <w:vAlign w:val="center"/>
          </w:tcPr>
          <w:p w14:paraId="1AB31565">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≥100.00%</w:t>
            </w:r>
          </w:p>
        </w:tc>
        <w:tc>
          <w:tcPr>
            <w:tcW w:w="230" w:type="pct"/>
            <w:shd w:val="clear" w:color="auto" w:fill="auto"/>
            <w:vAlign w:val="center"/>
          </w:tcPr>
          <w:p w14:paraId="2D58FCDC">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0863C7B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考察新购设备质量，反映质量目标的实现程度。</w:t>
            </w:r>
          </w:p>
        </w:tc>
        <w:tc>
          <w:tcPr>
            <w:tcW w:w="1181" w:type="pct"/>
            <w:shd w:val="clear" w:color="auto" w:fill="auto"/>
            <w:vAlign w:val="center"/>
          </w:tcPr>
          <w:p w14:paraId="1683F670">
            <w:pPr>
              <w:widowControl/>
              <w:adjustRightInd w:val="0"/>
              <w:snapToGrid w:val="0"/>
              <w:spacing w:line="260" w:lineRule="exact"/>
              <w:ind w:firstLine="0" w:firstLineChars="0"/>
              <w:textAlignment w:val="center"/>
              <w:rPr>
                <w:rFonts w:hint="eastAsia" w:cs="宋体"/>
                <w:color w:val="auto"/>
                <w:sz w:val="21"/>
                <w:szCs w:val="16"/>
                <w:highlight w:val="none"/>
              </w:rPr>
            </w:pPr>
            <w:r>
              <w:rPr>
                <w:rFonts w:hint="eastAsia" w:cs="宋体"/>
                <w:color w:val="auto"/>
                <w:sz w:val="21"/>
                <w:szCs w:val="16"/>
                <w:highlight w:val="none"/>
              </w:rPr>
              <w:t>采购设备合格率=设备合格数量/采购社备数量*100%。</w:t>
            </w:r>
          </w:p>
          <w:p w14:paraId="094CE02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评分规则：实际完成值达到标准值得满分，未达到标准值的每减少1%扣1%权重分。</w:t>
            </w:r>
          </w:p>
        </w:tc>
        <w:tc>
          <w:tcPr>
            <w:tcW w:w="942" w:type="pct"/>
            <w:shd w:val="clear" w:color="auto" w:fill="auto"/>
            <w:vAlign w:val="center"/>
          </w:tcPr>
          <w:p w14:paraId="390AF4F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根据固定资产管理台账，采购设备合格率=合格设备22件/采购社备数量22件*100%=100.00%，达成。</w:t>
            </w:r>
          </w:p>
        </w:tc>
        <w:tc>
          <w:tcPr>
            <w:tcW w:w="259" w:type="pct"/>
            <w:shd w:val="clear" w:color="auto" w:fill="auto"/>
            <w:vAlign w:val="center"/>
          </w:tcPr>
          <w:p w14:paraId="23415619">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5B7C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76" w:type="pct"/>
            <w:vMerge w:val="continue"/>
            <w:shd w:val="clear" w:color="auto" w:fill="auto"/>
            <w:vAlign w:val="center"/>
          </w:tcPr>
          <w:p w14:paraId="13E0DAA3">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D4F8448">
            <w:pPr>
              <w:widowControl/>
              <w:adjustRightInd w:val="0"/>
              <w:snapToGrid w:val="0"/>
              <w:spacing w:line="260" w:lineRule="exact"/>
              <w:ind w:firstLine="0" w:firstLineChars="0"/>
              <w:jc w:val="left"/>
              <w:rPr>
                <w:rFonts w:cs="宋体"/>
                <w:color w:val="auto"/>
                <w:kern w:val="2"/>
                <w:sz w:val="21"/>
                <w:szCs w:val="16"/>
                <w:highlight w:val="none"/>
              </w:rPr>
            </w:pPr>
          </w:p>
        </w:tc>
        <w:tc>
          <w:tcPr>
            <w:tcW w:w="400" w:type="pct"/>
            <w:shd w:val="clear" w:color="auto" w:fill="auto"/>
            <w:vAlign w:val="center"/>
          </w:tcPr>
          <w:p w14:paraId="44E1EBFD">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C13采购设备正常使用率</w:t>
            </w:r>
          </w:p>
        </w:tc>
        <w:tc>
          <w:tcPr>
            <w:tcW w:w="379" w:type="pct"/>
            <w:shd w:val="clear" w:color="auto" w:fill="auto"/>
            <w:vAlign w:val="center"/>
          </w:tcPr>
          <w:p w14:paraId="267126B0">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≥100.00%</w:t>
            </w:r>
          </w:p>
        </w:tc>
        <w:tc>
          <w:tcPr>
            <w:tcW w:w="230" w:type="pct"/>
            <w:shd w:val="clear" w:color="auto" w:fill="auto"/>
            <w:vAlign w:val="center"/>
          </w:tcPr>
          <w:p w14:paraId="7EAA57D3">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70D85CA9">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考察新购设备正常使用情况，反映效益目标的实现程度。</w:t>
            </w:r>
          </w:p>
        </w:tc>
        <w:tc>
          <w:tcPr>
            <w:tcW w:w="1181" w:type="pct"/>
            <w:shd w:val="clear" w:color="auto" w:fill="auto"/>
            <w:vAlign w:val="center"/>
          </w:tcPr>
          <w:p w14:paraId="34353609">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采购设备正常使用率=（正常使用设备数量/采购设备数量*100%</w:t>
            </w:r>
          </w:p>
          <w:p w14:paraId="4E068523">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评分规则：实际完成值达到标准值得满分，未达到标准值的每减少1%扣1%权重分。</w:t>
            </w:r>
          </w:p>
        </w:tc>
        <w:tc>
          <w:tcPr>
            <w:tcW w:w="942" w:type="pct"/>
            <w:shd w:val="clear" w:color="auto" w:fill="auto"/>
            <w:vAlign w:val="center"/>
          </w:tcPr>
          <w:p w14:paraId="0019BBE3">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根据固定资产管理台账，设备正常使用率=正常使用设备 22件/采购社备数量22件*100%=100.00%，达成。</w:t>
            </w:r>
          </w:p>
        </w:tc>
        <w:tc>
          <w:tcPr>
            <w:tcW w:w="259" w:type="pct"/>
            <w:shd w:val="clear" w:color="auto" w:fill="auto"/>
            <w:vAlign w:val="center"/>
          </w:tcPr>
          <w:p w14:paraId="2CE26F9A">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1B19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50B241AB">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04196E51">
            <w:pPr>
              <w:widowControl/>
              <w:adjustRightInd w:val="0"/>
              <w:snapToGrid w:val="0"/>
              <w:spacing w:line="260" w:lineRule="exact"/>
              <w:ind w:firstLine="0" w:firstLineChars="0"/>
              <w:jc w:val="left"/>
              <w:textAlignment w:val="center"/>
              <w:rPr>
                <w:rFonts w:cs="宋体"/>
                <w:color w:val="auto"/>
                <w:kern w:val="2"/>
                <w:sz w:val="21"/>
                <w:szCs w:val="16"/>
                <w:highlight w:val="none"/>
              </w:rPr>
            </w:pPr>
            <w:r>
              <w:rPr>
                <w:rFonts w:hint="eastAsia" w:cs="宋体"/>
                <w:color w:val="auto"/>
                <w:sz w:val="21"/>
                <w:szCs w:val="16"/>
                <w:highlight w:val="none"/>
              </w:rPr>
              <w:t>C2办公网络安全维护（</w:t>
            </w:r>
            <w:r>
              <w:rPr>
                <w:rFonts w:hint="eastAsia" w:cs="宋体"/>
                <w:color w:val="auto"/>
                <w:sz w:val="21"/>
                <w:szCs w:val="16"/>
                <w:highlight w:val="none"/>
                <w:lang w:val="en-US" w:eastAsia="zh-CN"/>
              </w:rPr>
              <w:t>2</w:t>
            </w:r>
            <w:r>
              <w:rPr>
                <w:rFonts w:hint="eastAsia" w:cs="宋体"/>
                <w:color w:val="auto"/>
                <w:sz w:val="21"/>
                <w:szCs w:val="16"/>
                <w:highlight w:val="none"/>
              </w:rPr>
              <w:t>）</w:t>
            </w:r>
          </w:p>
        </w:tc>
        <w:tc>
          <w:tcPr>
            <w:tcW w:w="400" w:type="pct"/>
            <w:shd w:val="clear" w:color="auto" w:fill="auto"/>
            <w:vAlign w:val="center"/>
          </w:tcPr>
          <w:p w14:paraId="77B1C24B">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C21机房网络设备运维范围</w:t>
            </w:r>
          </w:p>
        </w:tc>
        <w:tc>
          <w:tcPr>
            <w:tcW w:w="379" w:type="pct"/>
            <w:shd w:val="clear" w:color="auto" w:fill="auto"/>
            <w:vAlign w:val="center"/>
          </w:tcPr>
          <w:p w14:paraId="591A8245">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≥6台</w:t>
            </w:r>
          </w:p>
        </w:tc>
        <w:tc>
          <w:tcPr>
            <w:tcW w:w="230" w:type="pct"/>
            <w:shd w:val="clear" w:color="auto" w:fill="auto"/>
            <w:vAlign w:val="center"/>
          </w:tcPr>
          <w:p w14:paraId="0858D794">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54676F8D">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考察机房网络设备运维情况，反映履职目标的实现程度。</w:t>
            </w:r>
          </w:p>
        </w:tc>
        <w:tc>
          <w:tcPr>
            <w:tcW w:w="1181" w:type="pct"/>
            <w:shd w:val="clear" w:color="auto" w:fill="auto"/>
            <w:vAlign w:val="center"/>
          </w:tcPr>
          <w:p w14:paraId="496BB0B9">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评分规则：实际完成值达到标准值得满分，未达到标准值的每减少1台扣1%权重分。</w:t>
            </w:r>
          </w:p>
        </w:tc>
        <w:tc>
          <w:tcPr>
            <w:tcW w:w="942" w:type="pct"/>
            <w:shd w:val="clear" w:color="auto" w:fill="auto"/>
            <w:vAlign w:val="center"/>
          </w:tcPr>
          <w:p w14:paraId="389F5146">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根据机房网络设备运维记录，2024年运维设备10台，达成。</w:t>
            </w:r>
          </w:p>
        </w:tc>
        <w:tc>
          <w:tcPr>
            <w:tcW w:w="259" w:type="pct"/>
            <w:shd w:val="clear" w:color="auto" w:fill="auto"/>
            <w:vAlign w:val="center"/>
          </w:tcPr>
          <w:p w14:paraId="353E2D35">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07B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6" w:type="pct"/>
            <w:vMerge w:val="continue"/>
            <w:shd w:val="clear" w:color="auto" w:fill="auto"/>
            <w:vAlign w:val="center"/>
          </w:tcPr>
          <w:p w14:paraId="51D55F67">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4EFFD197">
            <w:pPr>
              <w:widowControl/>
              <w:adjustRightInd w:val="0"/>
              <w:snapToGrid w:val="0"/>
              <w:spacing w:line="260" w:lineRule="exact"/>
              <w:ind w:firstLine="0" w:firstLineChars="0"/>
              <w:jc w:val="left"/>
              <w:rPr>
                <w:rFonts w:cs="宋体"/>
                <w:color w:val="auto"/>
                <w:kern w:val="2"/>
                <w:sz w:val="21"/>
                <w:szCs w:val="16"/>
                <w:highlight w:val="none"/>
              </w:rPr>
            </w:pPr>
          </w:p>
        </w:tc>
        <w:tc>
          <w:tcPr>
            <w:tcW w:w="400" w:type="pct"/>
            <w:shd w:val="clear" w:color="auto" w:fill="auto"/>
            <w:vAlign w:val="center"/>
          </w:tcPr>
          <w:p w14:paraId="0D906475">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C22机房运维周期</w:t>
            </w:r>
            <w:r>
              <w:rPr>
                <w:rFonts w:hint="eastAsia" w:cs="宋体"/>
                <w:color w:val="auto"/>
                <w:sz w:val="21"/>
                <w:szCs w:val="16"/>
                <w:highlight w:val="none"/>
                <w:lang w:val="en-US" w:eastAsia="zh-CN"/>
              </w:rPr>
              <w:t>及</w:t>
            </w:r>
            <w:r>
              <w:rPr>
                <w:rFonts w:hint="eastAsia" w:cs="宋体"/>
                <w:color w:val="auto"/>
                <w:sz w:val="21"/>
                <w:szCs w:val="16"/>
                <w:highlight w:val="none"/>
              </w:rPr>
              <w:t>设备运维服务达标率</w:t>
            </w:r>
          </w:p>
        </w:tc>
        <w:tc>
          <w:tcPr>
            <w:tcW w:w="379" w:type="pct"/>
            <w:shd w:val="clear" w:color="auto" w:fill="auto"/>
            <w:vAlign w:val="center"/>
          </w:tcPr>
          <w:p w14:paraId="0D7F9E64">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100.00%</w:t>
            </w:r>
          </w:p>
        </w:tc>
        <w:tc>
          <w:tcPr>
            <w:tcW w:w="230" w:type="pct"/>
            <w:shd w:val="clear" w:color="auto" w:fill="auto"/>
            <w:vAlign w:val="center"/>
          </w:tcPr>
          <w:p w14:paraId="4C24C70F">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0B5B9605">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考察机房运维周期情况，反映时效目标的实现程度</w:t>
            </w:r>
            <w:r>
              <w:rPr>
                <w:rFonts w:hint="eastAsia" w:cs="宋体"/>
                <w:color w:val="auto"/>
                <w:sz w:val="21"/>
                <w:szCs w:val="16"/>
                <w:highlight w:val="none"/>
                <w:lang w:val="en-US" w:eastAsia="zh-CN"/>
              </w:rPr>
              <w:t>与</w:t>
            </w:r>
            <w:r>
              <w:rPr>
                <w:rFonts w:hint="eastAsia" w:cs="宋体"/>
                <w:color w:val="auto"/>
                <w:sz w:val="21"/>
                <w:szCs w:val="16"/>
                <w:highlight w:val="none"/>
              </w:rPr>
              <w:t>机房设备运维服务达标情况，反映质量目标的实施程度。</w:t>
            </w:r>
          </w:p>
        </w:tc>
        <w:tc>
          <w:tcPr>
            <w:tcW w:w="1181" w:type="pct"/>
            <w:shd w:val="clear" w:color="auto" w:fill="auto"/>
            <w:vAlign w:val="center"/>
          </w:tcPr>
          <w:p w14:paraId="1EF32E39">
            <w:pPr>
              <w:widowControl/>
              <w:adjustRightInd w:val="0"/>
              <w:snapToGrid w:val="0"/>
              <w:spacing w:line="260" w:lineRule="exact"/>
              <w:ind w:firstLine="0" w:firstLineChars="0"/>
              <w:textAlignment w:val="center"/>
              <w:rPr>
                <w:rFonts w:hint="eastAsia" w:cs="宋体"/>
                <w:color w:val="auto"/>
                <w:sz w:val="21"/>
                <w:szCs w:val="16"/>
                <w:highlight w:val="none"/>
              </w:rPr>
            </w:pPr>
            <w:r>
              <w:rPr>
                <w:rFonts w:hint="eastAsia" w:cs="宋体"/>
                <w:color w:val="auto"/>
                <w:sz w:val="21"/>
                <w:szCs w:val="16"/>
                <w:highlight w:val="none"/>
              </w:rPr>
              <w:t>评价要点：</w:t>
            </w:r>
          </w:p>
          <w:p w14:paraId="15C20C64">
            <w:pPr>
              <w:widowControl/>
              <w:numPr>
                <w:ilvl w:val="0"/>
                <w:numId w:val="5"/>
              </w:numPr>
              <w:adjustRightInd w:val="0"/>
              <w:snapToGrid w:val="0"/>
              <w:spacing w:line="260" w:lineRule="exact"/>
              <w:ind w:firstLine="0" w:firstLineChars="0"/>
              <w:textAlignment w:val="center"/>
              <w:rPr>
                <w:rFonts w:hint="eastAsia" w:cs="宋体"/>
                <w:color w:val="auto"/>
                <w:sz w:val="21"/>
                <w:szCs w:val="16"/>
                <w:highlight w:val="none"/>
                <w:lang w:eastAsia="zh-CN"/>
              </w:rPr>
            </w:pPr>
            <w:r>
              <w:rPr>
                <w:rFonts w:hint="eastAsia" w:cs="宋体"/>
                <w:color w:val="auto"/>
                <w:sz w:val="21"/>
                <w:szCs w:val="16"/>
                <w:highlight w:val="none"/>
              </w:rPr>
              <w:t>机房运维周期情况，反映时效目标的实现程度</w:t>
            </w:r>
            <w:r>
              <w:rPr>
                <w:rFonts w:hint="eastAsia" w:cs="宋体"/>
                <w:color w:val="auto"/>
                <w:sz w:val="21"/>
                <w:szCs w:val="16"/>
                <w:highlight w:val="none"/>
                <w:lang w:eastAsia="zh-CN"/>
              </w:rPr>
              <w:t>；</w:t>
            </w:r>
          </w:p>
          <w:p w14:paraId="01A68ECE">
            <w:pPr>
              <w:widowControl/>
              <w:numPr>
                <w:ilvl w:val="0"/>
                <w:numId w:val="5"/>
              </w:numPr>
              <w:adjustRightInd w:val="0"/>
              <w:snapToGrid w:val="0"/>
              <w:spacing w:line="260" w:lineRule="exact"/>
              <w:ind w:firstLine="0" w:firstLineChars="0"/>
              <w:textAlignment w:val="center"/>
              <w:rPr>
                <w:rFonts w:hint="eastAsia" w:cs="宋体"/>
                <w:color w:val="auto"/>
                <w:sz w:val="21"/>
                <w:szCs w:val="16"/>
                <w:highlight w:val="none"/>
                <w:lang w:val="en-US" w:eastAsia="zh-CN"/>
              </w:rPr>
            </w:pPr>
            <w:r>
              <w:rPr>
                <w:rFonts w:hint="eastAsia" w:cs="宋体"/>
                <w:color w:val="auto"/>
                <w:sz w:val="21"/>
                <w:szCs w:val="16"/>
                <w:highlight w:val="none"/>
              </w:rPr>
              <w:t>机房设备运维服务达标情况，反映质量目标的实施程度</w:t>
            </w:r>
            <w:r>
              <w:rPr>
                <w:rFonts w:hint="eastAsia" w:cs="宋体"/>
                <w:color w:val="auto"/>
                <w:sz w:val="21"/>
                <w:szCs w:val="16"/>
                <w:highlight w:val="none"/>
                <w:lang w:eastAsia="zh-CN"/>
              </w:rPr>
              <w:t>。</w:t>
            </w:r>
          </w:p>
          <w:p w14:paraId="4F047CC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评分规则：以上评价要点各占1/2分值，每个要点执行情况分为达成、部分达成、未达成三档，分别按分值的100%-80%（含）、80%-60%（含）、60%-0%合理确定分值</w:t>
            </w:r>
          </w:p>
        </w:tc>
        <w:tc>
          <w:tcPr>
            <w:tcW w:w="942" w:type="pct"/>
            <w:shd w:val="clear" w:color="auto" w:fill="auto"/>
            <w:vAlign w:val="center"/>
          </w:tcPr>
          <w:p w14:paraId="15F239EB">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根据机房运维登记，2024年运维周期100.00%，根据机房设备运维服务登记，2024年运维服务达标率100.00%。达成。</w:t>
            </w:r>
          </w:p>
        </w:tc>
        <w:tc>
          <w:tcPr>
            <w:tcW w:w="259" w:type="pct"/>
            <w:shd w:val="clear" w:color="auto" w:fill="auto"/>
            <w:vAlign w:val="center"/>
          </w:tcPr>
          <w:p w14:paraId="21D70D54">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5DB9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76" w:type="pct"/>
            <w:vMerge w:val="continue"/>
            <w:shd w:val="clear" w:color="auto" w:fill="auto"/>
            <w:vAlign w:val="center"/>
          </w:tcPr>
          <w:p w14:paraId="24C8D3A4">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71515D88">
            <w:pPr>
              <w:widowControl/>
              <w:adjustRightInd w:val="0"/>
              <w:snapToGrid w:val="0"/>
              <w:spacing w:line="260" w:lineRule="exact"/>
              <w:ind w:firstLine="0" w:firstLineChars="0"/>
              <w:jc w:val="left"/>
              <w:textAlignment w:val="center"/>
              <w:rPr>
                <w:rFonts w:cs="宋体"/>
                <w:color w:val="auto"/>
                <w:kern w:val="2"/>
                <w:sz w:val="21"/>
                <w:szCs w:val="16"/>
                <w:highlight w:val="none"/>
              </w:rPr>
            </w:pPr>
            <w:r>
              <w:rPr>
                <w:rFonts w:hint="eastAsia" w:cs="宋体"/>
                <w:color w:val="auto"/>
                <w:sz w:val="21"/>
                <w:szCs w:val="16"/>
                <w:highlight w:val="none"/>
              </w:rPr>
              <w:t>C3法律顾问咨询（</w:t>
            </w:r>
            <w:r>
              <w:rPr>
                <w:rFonts w:hint="eastAsia" w:cs="宋体"/>
                <w:color w:val="auto"/>
                <w:sz w:val="21"/>
                <w:szCs w:val="16"/>
                <w:highlight w:val="none"/>
                <w:lang w:val="en-US" w:eastAsia="zh-CN"/>
              </w:rPr>
              <w:t>2</w:t>
            </w:r>
            <w:r>
              <w:rPr>
                <w:rFonts w:hint="eastAsia" w:cs="宋体"/>
                <w:color w:val="auto"/>
                <w:sz w:val="21"/>
                <w:szCs w:val="16"/>
                <w:highlight w:val="none"/>
              </w:rPr>
              <w:t>）</w:t>
            </w:r>
          </w:p>
        </w:tc>
        <w:tc>
          <w:tcPr>
            <w:tcW w:w="400" w:type="pct"/>
            <w:shd w:val="clear" w:color="auto" w:fill="auto"/>
            <w:vAlign w:val="center"/>
          </w:tcPr>
          <w:p w14:paraId="567E6FBE">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C31法律顾问人数</w:t>
            </w:r>
          </w:p>
        </w:tc>
        <w:tc>
          <w:tcPr>
            <w:tcW w:w="379" w:type="pct"/>
            <w:shd w:val="clear" w:color="auto" w:fill="auto"/>
            <w:vAlign w:val="center"/>
          </w:tcPr>
          <w:p w14:paraId="7188E100">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4人</w:t>
            </w:r>
          </w:p>
        </w:tc>
        <w:tc>
          <w:tcPr>
            <w:tcW w:w="230" w:type="pct"/>
            <w:shd w:val="clear" w:color="auto" w:fill="auto"/>
            <w:vAlign w:val="center"/>
          </w:tcPr>
          <w:p w14:paraId="7D4B6145">
            <w:pPr>
              <w:widowControl/>
              <w:adjustRightInd w:val="0"/>
              <w:snapToGrid w:val="0"/>
              <w:spacing w:line="260" w:lineRule="exact"/>
              <w:ind w:firstLine="0" w:firstLineChars="0"/>
              <w:jc w:val="center"/>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3366CFF9">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考察法律顾问聘用人数，反映履职目标的实现程度。</w:t>
            </w:r>
          </w:p>
        </w:tc>
        <w:tc>
          <w:tcPr>
            <w:tcW w:w="1181" w:type="pct"/>
            <w:shd w:val="clear" w:color="auto" w:fill="auto"/>
            <w:vAlign w:val="center"/>
          </w:tcPr>
          <w:p w14:paraId="3DD58FB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评分规则：察看法律顾问咨询服务人员考勤表4人，每少一人扣0.25分。</w:t>
            </w:r>
          </w:p>
        </w:tc>
        <w:tc>
          <w:tcPr>
            <w:tcW w:w="942" w:type="pct"/>
            <w:shd w:val="clear" w:color="auto" w:fill="auto"/>
            <w:vAlign w:val="center"/>
          </w:tcPr>
          <w:p w14:paraId="341CB254">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根据法律咨询服务业务约定书，法律顾问人数4人，达成。</w:t>
            </w:r>
          </w:p>
        </w:tc>
        <w:tc>
          <w:tcPr>
            <w:tcW w:w="259" w:type="pct"/>
            <w:shd w:val="clear" w:color="auto" w:fill="auto"/>
            <w:vAlign w:val="center"/>
          </w:tcPr>
          <w:p w14:paraId="77A34FF1">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49D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00485F74">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26ECDC57">
            <w:pPr>
              <w:widowControl/>
              <w:adjustRightInd w:val="0"/>
              <w:snapToGrid w:val="0"/>
              <w:spacing w:line="260" w:lineRule="exact"/>
              <w:ind w:firstLine="0" w:firstLineChars="0"/>
              <w:jc w:val="left"/>
              <w:rPr>
                <w:rFonts w:cs="宋体"/>
                <w:color w:val="0000FF"/>
                <w:kern w:val="2"/>
                <w:sz w:val="21"/>
                <w:szCs w:val="16"/>
              </w:rPr>
            </w:pPr>
          </w:p>
        </w:tc>
        <w:tc>
          <w:tcPr>
            <w:tcW w:w="400" w:type="pct"/>
            <w:shd w:val="clear" w:color="auto" w:fill="auto"/>
            <w:vAlign w:val="center"/>
          </w:tcPr>
          <w:p w14:paraId="3002F25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C3</w:t>
            </w:r>
            <w:r>
              <w:rPr>
                <w:rFonts w:hint="eastAsia" w:cs="宋体"/>
                <w:color w:val="auto"/>
                <w:sz w:val="21"/>
                <w:szCs w:val="16"/>
                <w:lang w:val="en-US" w:eastAsia="zh-CN"/>
              </w:rPr>
              <w:t>2</w:t>
            </w:r>
            <w:r>
              <w:rPr>
                <w:rFonts w:hint="eastAsia" w:cs="宋体"/>
                <w:color w:val="auto"/>
                <w:sz w:val="21"/>
                <w:szCs w:val="16"/>
              </w:rPr>
              <w:t>法律咨询响应及时性</w:t>
            </w:r>
          </w:p>
        </w:tc>
        <w:tc>
          <w:tcPr>
            <w:tcW w:w="379" w:type="pct"/>
            <w:shd w:val="clear" w:color="auto" w:fill="auto"/>
            <w:vAlign w:val="center"/>
          </w:tcPr>
          <w:p w14:paraId="2E700DF7">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及时</w:t>
            </w:r>
          </w:p>
        </w:tc>
        <w:tc>
          <w:tcPr>
            <w:tcW w:w="230" w:type="pct"/>
            <w:shd w:val="clear" w:color="auto" w:fill="auto"/>
            <w:vAlign w:val="center"/>
          </w:tcPr>
          <w:p w14:paraId="210490CA">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w:t>
            </w:r>
          </w:p>
        </w:tc>
        <w:tc>
          <w:tcPr>
            <w:tcW w:w="780" w:type="pct"/>
            <w:shd w:val="clear" w:color="auto" w:fill="auto"/>
            <w:vAlign w:val="center"/>
          </w:tcPr>
          <w:p w14:paraId="51A1E76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考虑法律咨询响应工作情况，反映时效目标的实现程度。</w:t>
            </w:r>
          </w:p>
        </w:tc>
        <w:tc>
          <w:tcPr>
            <w:tcW w:w="1181" w:type="pct"/>
            <w:shd w:val="clear" w:color="auto" w:fill="auto"/>
            <w:vAlign w:val="center"/>
          </w:tcPr>
          <w:p w14:paraId="17670C9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评分规则：根据调查，认为法律咨询服务响应及时占比95.00%以上得满分。</w:t>
            </w:r>
          </w:p>
        </w:tc>
        <w:tc>
          <w:tcPr>
            <w:tcW w:w="942" w:type="pct"/>
            <w:shd w:val="clear" w:color="auto" w:fill="auto"/>
            <w:vAlign w:val="center"/>
          </w:tcPr>
          <w:p w14:paraId="728717E8">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根据调查法律咨询响应是否及时，选择及时的占比100.00%，达成。</w:t>
            </w:r>
          </w:p>
        </w:tc>
        <w:tc>
          <w:tcPr>
            <w:tcW w:w="259" w:type="pct"/>
            <w:shd w:val="clear" w:color="auto" w:fill="auto"/>
            <w:vAlign w:val="center"/>
          </w:tcPr>
          <w:p w14:paraId="5CE5163B">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62C1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76" w:type="pct"/>
            <w:vMerge w:val="continue"/>
            <w:shd w:val="clear" w:color="auto" w:fill="auto"/>
            <w:vAlign w:val="center"/>
          </w:tcPr>
          <w:p w14:paraId="32025CC8">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001950B9">
            <w:pPr>
              <w:widowControl/>
              <w:adjustRightInd w:val="0"/>
              <w:snapToGrid w:val="0"/>
              <w:spacing w:line="260" w:lineRule="exact"/>
              <w:ind w:firstLine="0" w:firstLineChars="0"/>
              <w:jc w:val="left"/>
              <w:textAlignment w:val="center"/>
              <w:rPr>
                <w:rFonts w:cs="宋体"/>
                <w:color w:val="auto"/>
                <w:kern w:val="2"/>
                <w:sz w:val="21"/>
                <w:szCs w:val="16"/>
                <w:highlight w:val="none"/>
              </w:rPr>
            </w:pPr>
            <w:r>
              <w:rPr>
                <w:rFonts w:hint="eastAsia" w:cs="宋体"/>
                <w:color w:val="auto"/>
                <w:sz w:val="21"/>
                <w:szCs w:val="16"/>
                <w:highlight w:val="none"/>
              </w:rPr>
              <w:t>C4农产品经纪人中级培训班（2）</w:t>
            </w:r>
          </w:p>
        </w:tc>
        <w:tc>
          <w:tcPr>
            <w:tcW w:w="400" w:type="pct"/>
            <w:shd w:val="clear" w:color="auto" w:fill="auto"/>
            <w:vAlign w:val="center"/>
          </w:tcPr>
          <w:p w14:paraId="55FD3420">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C41农产品经纪人中级培训班人次</w:t>
            </w:r>
          </w:p>
        </w:tc>
        <w:tc>
          <w:tcPr>
            <w:tcW w:w="379" w:type="pct"/>
            <w:shd w:val="clear" w:color="auto" w:fill="auto"/>
            <w:vAlign w:val="center"/>
          </w:tcPr>
          <w:p w14:paraId="13C5E3FA">
            <w:pPr>
              <w:adjustRightInd w:val="0"/>
              <w:snapToGrid w:val="0"/>
              <w:spacing w:line="260" w:lineRule="exact"/>
              <w:ind w:firstLine="0" w:firstLineChars="0"/>
              <w:textAlignment w:val="center"/>
              <w:rPr>
                <w:rFonts w:cs="宋体"/>
                <w:color w:val="auto"/>
                <w:kern w:val="2"/>
                <w:sz w:val="21"/>
                <w:szCs w:val="16"/>
                <w:highlight w:val="none"/>
              </w:rPr>
            </w:pPr>
            <w:r>
              <w:rPr>
                <w:rFonts w:cs="宋体"/>
                <w:color w:val="auto"/>
                <w:sz w:val="21"/>
                <w:szCs w:val="16"/>
                <w:highlight w:val="none"/>
              </w:rPr>
              <w:t>≥</w:t>
            </w:r>
            <w:r>
              <w:rPr>
                <w:rFonts w:hint="eastAsia" w:cs="宋体"/>
                <w:color w:val="auto"/>
                <w:sz w:val="21"/>
                <w:szCs w:val="16"/>
                <w:highlight w:val="none"/>
              </w:rPr>
              <w:t>100人次</w:t>
            </w:r>
          </w:p>
        </w:tc>
        <w:tc>
          <w:tcPr>
            <w:tcW w:w="230" w:type="pct"/>
            <w:shd w:val="clear" w:color="auto" w:fill="auto"/>
            <w:vAlign w:val="center"/>
          </w:tcPr>
          <w:p w14:paraId="0EA1A51F">
            <w:pPr>
              <w:adjustRightInd w:val="0"/>
              <w:snapToGrid w:val="0"/>
              <w:spacing w:line="260" w:lineRule="exact"/>
              <w:ind w:firstLine="210" w:firstLineChars="100"/>
              <w:textAlignment w:val="center"/>
              <w:rPr>
                <w:rFonts w:cs="宋体"/>
                <w:color w:val="auto"/>
                <w:kern w:val="2"/>
                <w:sz w:val="21"/>
                <w:szCs w:val="16"/>
                <w:highlight w:val="none"/>
              </w:rPr>
            </w:pPr>
            <w:r>
              <w:rPr>
                <w:rFonts w:hint="eastAsia" w:cs="宋体"/>
                <w:color w:val="auto"/>
                <w:sz w:val="21"/>
                <w:szCs w:val="16"/>
                <w:highlight w:val="none"/>
              </w:rPr>
              <w:t>1</w:t>
            </w:r>
          </w:p>
        </w:tc>
        <w:tc>
          <w:tcPr>
            <w:tcW w:w="780" w:type="pct"/>
            <w:shd w:val="clear" w:color="auto" w:fill="auto"/>
            <w:vAlign w:val="center"/>
          </w:tcPr>
          <w:p w14:paraId="1610B6A9">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考察农产品经纪人培训班人次情况，反映履职目标的实现程度。</w:t>
            </w:r>
          </w:p>
        </w:tc>
        <w:tc>
          <w:tcPr>
            <w:tcW w:w="1181" w:type="pct"/>
            <w:shd w:val="clear" w:color="auto" w:fill="auto"/>
            <w:vAlign w:val="center"/>
          </w:tcPr>
          <w:p w14:paraId="24386170">
            <w:pPr>
              <w:widowControl/>
              <w:adjustRightInd w:val="0"/>
              <w:snapToGrid w:val="0"/>
              <w:spacing w:line="260" w:lineRule="exact"/>
              <w:ind w:firstLine="0" w:firstLineChars="0"/>
              <w:textAlignment w:val="center"/>
              <w:rPr>
                <w:rFonts w:hint="eastAsia" w:cs="宋体"/>
                <w:color w:val="auto"/>
                <w:sz w:val="21"/>
                <w:szCs w:val="16"/>
                <w:highlight w:val="none"/>
              </w:rPr>
            </w:pPr>
            <w:r>
              <w:rPr>
                <w:rFonts w:hint="eastAsia" w:cs="宋体"/>
                <w:color w:val="auto"/>
                <w:sz w:val="21"/>
                <w:szCs w:val="16"/>
                <w:highlight w:val="none"/>
              </w:rPr>
              <w:t>农产品经纪人培训班出勤率=实际出勤人数/应出勤人数*100%。</w:t>
            </w:r>
          </w:p>
          <w:p w14:paraId="0219A283">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评分规则：实际完成值达到标准值得满分，未达到标准值的每减少1%扣1%权重分。</w:t>
            </w:r>
          </w:p>
        </w:tc>
        <w:tc>
          <w:tcPr>
            <w:tcW w:w="942" w:type="pct"/>
            <w:shd w:val="clear" w:color="auto" w:fill="auto"/>
            <w:vAlign w:val="center"/>
          </w:tcPr>
          <w:p w14:paraId="73672F76">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根据农产品经纪人培训报销凭证，农产品经纪人培训班考勤表实际签到100人次，达成。</w:t>
            </w:r>
          </w:p>
        </w:tc>
        <w:tc>
          <w:tcPr>
            <w:tcW w:w="259" w:type="pct"/>
            <w:shd w:val="clear" w:color="auto" w:fill="auto"/>
            <w:vAlign w:val="center"/>
          </w:tcPr>
          <w:p w14:paraId="34A3B869">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1.00</w:t>
            </w:r>
          </w:p>
        </w:tc>
      </w:tr>
      <w:tr w14:paraId="591D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76" w:type="pct"/>
            <w:vMerge w:val="continue"/>
            <w:shd w:val="clear" w:color="auto" w:fill="auto"/>
            <w:vAlign w:val="center"/>
          </w:tcPr>
          <w:p w14:paraId="4B307385">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5C4BFE6">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7C363D7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C42培训完成及时性</w:t>
            </w:r>
          </w:p>
        </w:tc>
        <w:tc>
          <w:tcPr>
            <w:tcW w:w="379" w:type="pct"/>
            <w:shd w:val="clear" w:color="auto" w:fill="auto"/>
            <w:vAlign w:val="center"/>
          </w:tcPr>
          <w:p w14:paraId="1EC09D84">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及时</w:t>
            </w:r>
          </w:p>
        </w:tc>
        <w:tc>
          <w:tcPr>
            <w:tcW w:w="230" w:type="pct"/>
            <w:shd w:val="clear" w:color="auto" w:fill="auto"/>
            <w:vAlign w:val="center"/>
          </w:tcPr>
          <w:p w14:paraId="6F31F07A">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1</w:t>
            </w:r>
          </w:p>
        </w:tc>
        <w:tc>
          <w:tcPr>
            <w:tcW w:w="780" w:type="pct"/>
            <w:shd w:val="clear" w:color="auto" w:fill="auto"/>
            <w:vAlign w:val="center"/>
          </w:tcPr>
          <w:p w14:paraId="2CA1EB8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考察农产品经纪人培训完成情况，反映履职目标的实现程度。</w:t>
            </w:r>
          </w:p>
        </w:tc>
        <w:tc>
          <w:tcPr>
            <w:tcW w:w="1181" w:type="pct"/>
            <w:shd w:val="clear" w:color="auto" w:fill="auto"/>
            <w:vAlign w:val="center"/>
          </w:tcPr>
          <w:p w14:paraId="67B602BB">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评分规则：根据培训计划，按时完成得满分。</w:t>
            </w:r>
          </w:p>
        </w:tc>
        <w:tc>
          <w:tcPr>
            <w:tcW w:w="942" w:type="pct"/>
            <w:shd w:val="clear" w:color="auto" w:fill="auto"/>
            <w:vAlign w:val="center"/>
          </w:tcPr>
          <w:p w14:paraId="2930EC7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根据农产品经纪人培训计划和报销凭证，按时完成培训任务，达成。</w:t>
            </w:r>
          </w:p>
        </w:tc>
        <w:tc>
          <w:tcPr>
            <w:tcW w:w="259" w:type="pct"/>
            <w:shd w:val="clear" w:color="auto" w:fill="auto"/>
            <w:vAlign w:val="center"/>
          </w:tcPr>
          <w:p w14:paraId="4CF09267">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6745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76" w:type="pct"/>
            <w:vMerge w:val="continue"/>
            <w:shd w:val="clear" w:color="auto" w:fill="auto"/>
            <w:vAlign w:val="center"/>
          </w:tcPr>
          <w:p w14:paraId="1AB32F10">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1B6EF5C9">
            <w:pPr>
              <w:widowControl/>
              <w:adjustRightInd w:val="0"/>
              <w:snapToGrid w:val="0"/>
              <w:spacing w:line="260" w:lineRule="exact"/>
              <w:ind w:firstLine="0" w:firstLineChars="0"/>
              <w:jc w:val="left"/>
              <w:rPr>
                <w:rFonts w:cs="宋体"/>
                <w:kern w:val="2"/>
                <w:sz w:val="21"/>
                <w:szCs w:val="16"/>
              </w:rPr>
            </w:pPr>
            <w:r>
              <w:rPr>
                <w:rFonts w:hint="eastAsia" w:cs="宋体"/>
                <w:kern w:val="2"/>
                <w:sz w:val="21"/>
                <w:szCs w:val="16"/>
                <w:highlight w:val="none"/>
              </w:rPr>
              <w:t>C5农产品展销（</w:t>
            </w:r>
            <w:r>
              <w:rPr>
                <w:rFonts w:hint="eastAsia" w:cs="宋体"/>
                <w:kern w:val="2"/>
                <w:sz w:val="21"/>
                <w:szCs w:val="16"/>
                <w:highlight w:val="none"/>
                <w:lang w:val="en-US" w:eastAsia="zh-CN"/>
              </w:rPr>
              <w:t>2</w:t>
            </w:r>
            <w:r>
              <w:rPr>
                <w:rFonts w:hint="eastAsia" w:cs="宋体"/>
                <w:kern w:val="2"/>
                <w:sz w:val="21"/>
                <w:szCs w:val="16"/>
                <w:highlight w:val="none"/>
              </w:rPr>
              <w:t>）</w:t>
            </w:r>
          </w:p>
        </w:tc>
        <w:tc>
          <w:tcPr>
            <w:tcW w:w="400" w:type="pct"/>
            <w:shd w:val="clear" w:color="auto" w:fill="auto"/>
            <w:vAlign w:val="center"/>
          </w:tcPr>
          <w:p w14:paraId="01F9D13C">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C</w:t>
            </w:r>
            <w:r>
              <w:rPr>
                <w:rFonts w:hint="eastAsia" w:cs="宋体"/>
                <w:sz w:val="21"/>
                <w:szCs w:val="16"/>
                <w:lang w:val="en-US" w:eastAsia="zh-CN"/>
              </w:rPr>
              <w:t>51</w:t>
            </w:r>
            <w:r>
              <w:rPr>
                <w:rFonts w:hint="eastAsia" w:cs="宋体"/>
                <w:sz w:val="21"/>
                <w:szCs w:val="16"/>
              </w:rPr>
              <w:t>地产农产品美誉度提升效果</w:t>
            </w:r>
          </w:p>
        </w:tc>
        <w:tc>
          <w:tcPr>
            <w:tcW w:w="379" w:type="pct"/>
            <w:shd w:val="clear" w:color="auto" w:fill="auto"/>
            <w:vAlign w:val="center"/>
          </w:tcPr>
          <w:p w14:paraId="5FED47D0">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明显</w:t>
            </w:r>
          </w:p>
        </w:tc>
        <w:tc>
          <w:tcPr>
            <w:tcW w:w="230" w:type="pct"/>
            <w:shd w:val="clear" w:color="auto" w:fill="auto"/>
            <w:vAlign w:val="center"/>
          </w:tcPr>
          <w:p w14:paraId="61640FB8">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w:t>
            </w:r>
          </w:p>
        </w:tc>
        <w:tc>
          <w:tcPr>
            <w:tcW w:w="780" w:type="pct"/>
            <w:shd w:val="clear" w:color="auto" w:fill="auto"/>
            <w:vAlign w:val="center"/>
          </w:tcPr>
          <w:p w14:paraId="62E558FE">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考察参展商户数量情况，反映履职目标的实际程度</w:t>
            </w:r>
          </w:p>
        </w:tc>
        <w:tc>
          <w:tcPr>
            <w:tcW w:w="1181" w:type="pct"/>
            <w:shd w:val="clear" w:color="auto" w:fill="auto"/>
            <w:vAlign w:val="center"/>
          </w:tcPr>
          <w:p w14:paraId="5A3B782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评分规则：参展农商积极程度，数量达到一定规模，得满分。</w:t>
            </w:r>
          </w:p>
        </w:tc>
        <w:tc>
          <w:tcPr>
            <w:tcW w:w="942" w:type="pct"/>
            <w:shd w:val="clear" w:color="auto" w:fill="auto"/>
            <w:vAlign w:val="center"/>
          </w:tcPr>
          <w:p w14:paraId="3E954506">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根据“南京市供销合作社第六届理事会第八次全体会议工作报告”，实际参展1000户合作社（企业），达成。</w:t>
            </w:r>
          </w:p>
        </w:tc>
        <w:tc>
          <w:tcPr>
            <w:tcW w:w="259" w:type="pct"/>
            <w:shd w:val="clear" w:color="auto" w:fill="auto"/>
            <w:vAlign w:val="center"/>
          </w:tcPr>
          <w:p w14:paraId="7D2D099C">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031C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6" w:type="pct"/>
            <w:vMerge w:val="continue"/>
            <w:shd w:val="clear" w:color="auto" w:fill="auto"/>
            <w:vAlign w:val="center"/>
          </w:tcPr>
          <w:p w14:paraId="106EA58A">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4651A113">
            <w:pPr>
              <w:widowControl/>
              <w:adjustRightInd w:val="0"/>
              <w:snapToGrid w:val="0"/>
              <w:spacing w:line="260" w:lineRule="exact"/>
              <w:ind w:firstLine="0" w:firstLineChars="0"/>
              <w:jc w:val="left"/>
              <w:rPr>
                <w:rFonts w:cs="宋体"/>
                <w:kern w:val="2"/>
                <w:sz w:val="21"/>
                <w:szCs w:val="16"/>
              </w:rPr>
            </w:pPr>
          </w:p>
        </w:tc>
        <w:tc>
          <w:tcPr>
            <w:tcW w:w="400" w:type="pct"/>
            <w:shd w:val="clear" w:color="auto" w:fill="auto"/>
            <w:vAlign w:val="center"/>
          </w:tcPr>
          <w:p w14:paraId="4F1480A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C5</w:t>
            </w:r>
            <w:r>
              <w:rPr>
                <w:rFonts w:hint="eastAsia" w:cs="宋体"/>
                <w:sz w:val="21"/>
                <w:szCs w:val="16"/>
                <w:lang w:val="en-US" w:eastAsia="zh-CN"/>
              </w:rPr>
              <w:t>2</w:t>
            </w:r>
            <w:r>
              <w:rPr>
                <w:rFonts w:hint="eastAsia" w:cs="宋体"/>
                <w:sz w:val="21"/>
                <w:szCs w:val="16"/>
              </w:rPr>
              <w:t>农产品展销销售额</w:t>
            </w:r>
          </w:p>
        </w:tc>
        <w:tc>
          <w:tcPr>
            <w:tcW w:w="379" w:type="pct"/>
            <w:shd w:val="clear" w:color="auto" w:fill="auto"/>
            <w:vAlign w:val="center"/>
          </w:tcPr>
          <w:p w14:paraId="18B44DC5">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20万元</w:t>
            </w:r>
          </w:p>
        </w:tc>
        <w:tc>
          <w:tcPr>
            <w:tcW w:w="230" w:type="pct"/>
            <w:shd w:val="clear" w:color="auto" w:fill="auto"/>
            <w:vAlign w:val="center"/>
          </w:tcPr>
          <w:p w14:paraId="26EFE962">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w:t>
            </w:r>
          </w:p>
        </w:tc>
        <w:tc>
          <w:tcPr>
            <w:tcW w:w="780" w:type="pct"/>
            <w:shd w:val="clear" w:color="auto" w:fill="auto"/>
            <w:vAlign w:val="center"/>
          </w:tcPr>
          <w:p w14:paraId="4AE981AF">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考察农产品展销销售额情况，反映履职目标的实际程度</w:t>
            </w:r>
          </w:p>
        </w:tc>
        <w:tc>
          <w:tcPr>
            <w:tcW w:w="1181" w:type="pct"/>
            <w:shd w:val="clear" w:color="auto" w:fill="auto"/>
            <w:vAlign w:val="center"/>
          </w:tcPr>
          <w:p w14:paraId="16BCCE68">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评分规则：农产品展销销售额≥20万元，得满分。</w:t>
            </w:r>
          </w:p>
        </w:tc>
        <w:tc>
          <w:tcPr>
            <w:tcW w:w="942" w:type="pct"/>
            <w:shd w:val="clear" w:color="auto" w:fill="auto"/>
            <w:vAlign w:val="center"/>
          </w:tcPr>
          <w:p w14:paraId="5219FCF7">
            <w:pPr>
              <w:widowControl/>
              <w:adjustRightInd w:val="0"/>
              <w:snapToGrid w:val="0"/>
              <w:spacing w:line="260" w:lineRule="exact"/>
              <w:ind w:firstLine="0" w:firstLineChars="0"/>
              <w:textAlignment w:val="center"/>
              <w:rPr>
                <w:rFonts w:cs="宋体"/>
                <w:sz w:val="21"/>
                <w:szCs w:val="16"/>
              </w:rPr>
            </w:pPr>
            <w:r>
              <w:rPr>
                <w:rFonts w:hint="eastAsia" w:cs="宋体"/>
                <w:sz w:val="21"/>
                <w:szCs w:val="16"/>
              </w:rPr>
              <w:t>根据“南京市供销合作社第六届理事会第八次全体会议工作报告”，实际农产品展销销售额超过330.00万元。</w:t>
            </w:r>
          </w:p>
        </w:tc>
        <w:tc>
          <w:tcPr>
            <w:tcW w:w="259" w:type="pct"/>
            <w:shd w:val="clear" w:color="auto" w:fill="auto"/>
            <w:vAlign w:val="center"/>
          </w:tcPr>
          <w:p w14:paraId="7EFEEB50">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5E1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76" w:type="pct"/>
            <w:vMerge w:val="continue"/>
            <w:shd w:val="clear" w:color="auto" w:fill="auto"/>
            <w:vAlign w:val="center"/>
          </w:tcPr>
          <w:p w14:paraId="0B388CB8">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3F2EC712">
            <w:pPr>
              <w:widowControl/>
              <w:adjustRightInd w:val="0"/>
              <w:snapToGrid w:val="0"/>
              <w:spacing w:line="260" w:lineRule="exact"/>
              <w:ind w:firstLine="0" w:firstLineChars="0"/>
              <w:jc w:val="center"/>
              <w:rPr>
                <w:rFonts w:cs="宋体"/>
                <w:color w:val="auto"/>
                <w:kern w:val="2"/>
                <w:sz w:val="21"/>
                <w:szCs w:val="16"/>
                <w:highlight w:val="none"/>
              </w:rPr>
            </w:pPr>
            <w:r>
              <w:rPr>
                <w:rFonts w:hint="eastAsia" w:cs="宋体"/>
                <w:color w:val="auto"/>
                <w:kern w:val="2"/>
                <w:sz w:val="21"/>
                <w:szCs w:val="16"/>
                <w:highlight w:val="none"/>
              </w:rPr>
              <w:t>C6农村供销合作服务体系建设及项目审计、绩效评价（2）</w:t>
            </w:r>
          </w:p>
        </w:tc>
        <w:tc>
          <w:tcPr>
            <w:tcW w:w="400" w:type="pct"/>
            <w:shd w:val="clear" w:color="auto" w:fill="auto"/>
            <w:vAlign w:val="center"/>
          </w:tcPr>
          <w:p w14:paraId="636DAF45">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C61完成审计及绩效评价数量</w:t>
            </w:r>
          </w:p>
        </w:tc>
        <w:tc>
          <w:tcPr>
            <w:tcW w:w="379" w:type="pct"/>
            <w:shd w:val="clear" w:color="auto" w:fill="auto"/>
            <w:vAlign w:val="center"/>
          </w:tcPr>
          <w:p w14:paraId="735D41ED">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≥10个</w:t>
            </w:r>
          </w:p>
        </w:tc>
        <w:tc>
          <w:tcPr>
            <w:tcW w:w="230" w:type="pct"/>
            <w:shd w:val="clear" w:color="auto" w:fill="auto"/>
            <w:vAlign w:val="center"/>
          </w:tcPr>
          <w:p w14:paraId="44D6AED5">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w:t>
            </w:r>
          </w:p>
        </w:tc>
        <w:tc>
          <w:tcPr>
            <w:tcW w:w="780" w:type="pct"/>
            <w:shd w:val="clear" w:color="auto" w:fill="auto"/>
            <w:vAlign w:val="center"/>
          </w:tcPr>
          <w:p w14:paraId="125BDC8A">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考察完成审计及绩效评价数量情况，反映履职目标的实现程度</w:t>
            </w:r>
          </w:p>
        </w:tc>
        <w:tc>
          <w:tcPr>
            <w:tcW w:w="1181" w:type="pct"/>
            <w:shd w:val="clear" w:color="auto" w:fill="auto"/>
            <w:vAlign w:val="center"/>
          </w:tcPr>
          <w:p w14:paraId="2FAF386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评分规则：完成审计及绩效评价数量≥10个，得满分。每少1个扣0.1分</w:t>
            </w:r>
          </w:p>
        </w:tc>
        <w:tc>
          <w:tcPr>
            <w:tcW w:w="942" w:type="pct"/>
            <w:shd w:val="clear" w:color="auto" w:fill="auto"/>
            <w:vAlign w:val="center"/>
          </w:tcPr>
          <w:p w14:paraId="475A51BB">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根据现场核查资料，农村供销合作服务体系建设项目完成项目审计、项目绩效自评价，实际完成8个，扣0.2分。</w:t>
            </w:r>
          </w:p>
        </w:tc>
        <w:tc>
          <w:tcPr>
            <w:tcW w:w="259" w:type="pct"/>
            <w:shd w:val="clear" w:color="auto" w:fill="auto"/>
            <w:vAlign w:val="center"/>
          </w:tcPr>
          <w:p w14:paraId="34FDE7CC">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0.80</w:t>
            </w:r>
          </w:p>
        </w:tc>
      </w:tr>
      <w:tr w14:paraId="65A9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76" w:type="pct"/>
            <w:vMerge w:val="continue"/>
            <w:shd w:val="clear" w:color="auto" w:fill="auto"/>
            <w:vAlign w:val="center"/>
          </w:tcPr>
          <w:p w14:paraId="769AE1A1">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3B785331">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5718FC78">
            <w:pPr>
              <w:widowControl/>
              <w:adjustRightInd w:val="0"/>
              <w:snapToGrid w:val="0"/>
              <w:spacing w:line="220" w:lineRule="exact"/>
              <w:ind w:firstLine="0" w:firstLineChars="0"/>
              <w:textAlignment w:val="center"/>
              <w:rPr>
                <w:rFonts w:cs="宋体"/>
                <w:color w:val="auto"/>
                <w:sz w:val="21"/>
                <w:szCs w:val="16"/>
              </w:rPr>
            </w:pPr>
            <w:r>
              <w:rPr>
                <w:rFonts w:hint="eastAsia" w:cs="宋体"/>
                <w:color w:val="auto"/>
                <w:sz w:val="21"/>
                <w:szCs w:val="16"/>
              </w:rPr>
              <w:t>C62对提高专项资金审核结果的影响程度</w:t>
            </w:r>
          </w:p>
        </w:tc>
        <w:tc>
          <w:tcPr>
            <w:tcW w:w="379" w:type="pct"/>
            <w:shd w:val="clear" w:color="auto" w:fill="auto"/>
            <w:vAlign w:val="center"/>
          </w:tcPr>
          <w:p w14:paraId="1A89B0C1">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明显</w:t>
            </w:r>
          </w:p>
        </w:tc>
        <w:tc>
          <w:tcPr>
            <w:tcW w:w="230" w:type="pct"/>
            <w:shd w:val="clear" w:color="auto" w:fill="auto"/>
            <w:vAlign w:val="center"/>
          </w:tcPr>
          <w:p w14:paraId="4F11BD2B">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w:t>
            </w:r>
          </w:p>
        </w:tc>
        <w:tc>
          <w:tcPr>
            <w:tcW w:w="780" w:type="pct"/>
            <w:shd w:val="clear" w:color="auto" w:fill="auto"/>
            <w:vAlign w:val="center"/>
          </w:tcPr>
          <w:p w14:paraId="588DED3B">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考察完成专项审计项目质量情况，反映履职目标的实现程度</w:t>
            </w:r>
          </w:p>
        </w:tc>
        <w:tc>
          <w:tcPr>
            <w:tcW w:w="1181" w:type="pct"/>
            <w:shd w:val="clear" w:color="auto" w:fill="auto"/>
            <w:vAlign w:val="center"/>
          </w:tcPr>
          <w:p w14:paraId="2728DF0D">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评分规则：完成专项审计项情况，有无违规奖补情况，得满分。</w:t>
            </w:r>
          </w:p>
        </w:tc>
        <w:tc>
          <w:tcPr>
            <w:tcW w:w="942" w:type="pct"/>
            <w:shd w:val="clear" w:color="auto" w:fill="auto"/>
            <w:vAlign w:val="center"/>
          </w:tcPr>
          <w:p w14:paraId="082D1C3A">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根据现场核查资料，完成专项审计项目质量，达成。</w:t>
            </w:r>
          </w:p>
        </w:tc>
        <w:tc>
          <w:tcPr>
            <w:tcW w:w="259" w:type="pct"/>
            <w:shd w:val="clear" w:color="auto" w:fill="auto"/>
            <w:vAlign w:val="center"/>
          </w:tcPr>
          <w:p w14:paraId="745F0E74">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0CF2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76" w:type="pct"/>
            <w:vMerge w:val="continue"/>
            <w:shd w:val="clear" w:color="auto" w:fill="auto"/>
            <w:vAlign w:val="center"/>
          </w:tcPr>
          <w:p w14:paraId="74AF8764">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391C86D9">
            <w:pPr>
              <w:widowControl/>
              <w:adjustRightInd w:val="0"/>
              <w:snapToGrid w:val="0"/>
              <w:spacing w:line="260" w:lineRule="exact"/>
              <w:ind w:firstLine="0" w:firstLineChars="0"/>
              <w:jc w:val="left"/>
              <w:rPr>
                <w:rFonts w:cs="宋体"/>
                <w:color w:val="auto"/>
                <w:kern w:val="2"/>
                <w:sz w:val="21"/>
                <w:szCs w:val="16"/>
                <w:highlight w:val="none"/>
              </w:rPr>
            </w:pPr>
            <w:r>
              <w:rPr>
                <w:rFonts w:hint="eastAsia" w:cs="宋体"/>
                <w:color w:val="auto"/>
                <w:kern w:val="2"/>
                <w:sz w:val="21"/>
                <w:szCs w:val="16"/>
                <w:highlight w:val="none"/>
              </w:rPr>
              <w:t>C7基层组织建设（</w:t>
            </w:r>
            <w:r>
              <w:rPr>
                <w:rFonts w:hint="eastAsia" w:cs="宋体"/>
                <w:color w:val="auto"/>
                <w:kern w:val="2"/>
                <w:sz w:val="21"/>
                <w:szCs w:val="16"/>
                <w:highlight w:val="none"/>
                <w:lang w:val="en-US" w:eastAsia="zh-CN"/>
              </w:rPr>
              <w:t>6</w:t>
            </w:r>
            <w:r>
              <w:rPr>
                <w:rFonts w:hint="eastAsia" w:cs="宋体"/>
                <w:color w:val="auto"/>
                <w:kern w:val="2"/>
                <w:sz w:val="21"/>
                <w:szCs w:val="16"/>
                <w:highlight w:val="none"/>
              </w:rPr>
              <w:t>）</w:t>
            </w:r>
          </w:p>
        </w:tc>
        <w:tc>
          <w:tcPr>
            <w:tcW w:w="400" w:type="pct"/>
            <w:shd w:val="clear" w:color="auto" w:fill="auto"/>
            <w:vAlign w:val="center"/>
          </w:tcPr>
          <w:p w14:paraId="414CA4D1">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C71基层社改造提升数量</w:t>
            </w:r>
          </w:p>
        </w:tc>
        <w:tc>
          <w:tcPr>
            <w:tcW w:w="379" w:type="pct"/>
            <w:shd w:val="clear" w:color="auto" w:fill="auto"/>
            <w:vAlign w:val="center"/>
          </w:tcPr>
          <w:p w14:paraId="6BAA71D0">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w:t>
            </w:r>
            <w:r>
              <w:rPr>
                <w:rFonts w:hint="eastAsia" w:cs="宋体"/>
                <w:color w:val="auto"/>
                <w:sz w:val="21"/>
                <w:szCs w:val="16"/>
                <w:highlight w:val="none"/>
                <w:lang w:val="en-US" w:eastAsia="zh-CN"/>
              </w:rPr>
              <w:t>3</w:t>
            </w:r>
            <w:r>
              <w:rPr>
                <w:rFonts w:hint="eastAsia" w:cs="宋体"/>
                <w:color w:val="auto"/>
                <w:sz w:val="21"/>
                <w:szCs w:val="16"/>
                <w:highlight w:val="none"/>
              </w:rPr>
              <w:t>个</w:t>
            </w:r>
          </w:p>
        </w:tc>
        <w:tc>
          <w:tcPr>
            <w:tcW w:w="230" w:type="pct"/>
            <w:shd w:val="clear" w:color="auto" w:fill="auto"/>
            <w:vAlign w:val="center"/>
          </w:tcPr>
          <w:p w14:paraId="630AE20B">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w:t>
            </w:r>
          </w:p>
        </w:tc>
        <w:tc>
          <w:tcPr>
            <w:tcW w:w="780" w:type="pct"/>
            <w:shd w:val="clear" w:color="auto" w:fill="auto"/>
            <w:vAlign w:val="center"/>
          </w:tcPr>
          <w:p w14:paraId="265220AA">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考察改造提升基层供销社情况，反映履职目标的实现程度</w:t>
            </w:r>
          </w:p>
        </w:tc>
        <w:tc>
          <w:tcPr>
            <w:tcW w:w="1181" w:type="pct"/>
            <w:shd w:val="clear" w:color="auto" w:fill="auto"/>
            <w:vAlign w:val="center"/>
          </w:tcPr>
          <w:p w14:paraId="32393BF1">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评分规则：改造提升基层供销社3个，得满分。</w:t>
            </w:r>
          </w:p>
        </w:tc>
        <w:tc>
          <w:tcPr>
            <w:tcW w:w="942" w:type="pct"/>
            <w:shd w:val="clear" w:color="auto" w:fill="auto"/>
            <w:vAlign w:val="center"/>
          </w:tcPr>
          <w:p w14:paraId="1ED12D58">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根据2024年市农村供销合作服务体系建设专项资金奖补项目公示，实际提升基层供销社3个，达成。</w:t>
            </w:r>
          </w:p>
        </w:tc>
        <w:tc>
          <w:tcPr>
            <w:tcW w:w="259" w:type="pct"/>
            <w:shd w:val="clear" w:color="auto" w:fill="auto"/>
            <w:vAlign w:val="center"/>
          </w:tcPr>
          <w:p w14:paraId="15700521">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2.00</w:t>
            </w:r>
          </w:p>
        </w:tc>
      </w:tr>
      <w:tr w14:paraId="0F15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76" w:type="pct"/>
            <w:vMerge w:val="continue"/>
            <w:shd w:val="clear" w:color="auto" w:fill="auto"/>
            <w:vAlign w:val="center"/>
          </w:tcPr>
          <w:p w14:paraId="0A52C449">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41386C23">
            <w:pPr>
              <w:widowControl/>
              <w:adjustRightInd w:val="0"/>
              <w:snapToGrid w:val="0"/>
              <w:spacing w:line="260" w:lineRule="exact"/>
              <w:ind w:firstLine="0" w:firstLineChars="0"/>
              <w:jc w:val="left"/>
              <w:rPr>
                <w:rFonts w:cs="宋体"/>
                <w:color w:val="auto"/>
                <w:kern w:val="2"/>
                <w:sz w:val="21"/>
                <w:szCs w:val="16"/>
                <w:highlight w:val="none"/>
              </w:rPr>
            </w:pPr>
          </w:p>
        </w:tc>
        <w:tc>
          <w:tcPr>
            <w:tcW w:w="400" w:type="pct"/>
            <w:shd w:val="clear" w:color="auto" w:fill="auto"/>
            <w:vAlign w:val="center"/>
          </w:tcPr>
          <w:p w14:paraId="5057512B">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C7</w:t>
            </w:r>
            <w:r>
              <w:rPr>
                <w:rFonts w:hint="eastAsia" w:cs="宋体"/>
                <w:color w:val="auto"/>
                <w:sz w:val="21"/>
                <w:szCs w:val="16"/>
                <w:highlight w:val="none"/>
                <w:lang w:val="en-US" w:eastAsia="zh-CN"/>
              </w:rPr>
              <w:t>2提档升级农村综合服务社数量</w:t>
            </w:r>
          </w:p>
        </w:tc>
        <w:tc>
          <w:tcPr>
            <w:tcW w:w="379" w:type="pct"/>
            <w:shd w:val="clear" w:color="auto" w:fill="auto"/>
            <w:vAlign w:val="center"/>
          </w:tcPr>
          <w:p w14:paraId="51909578">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w:t>
            </w:r>
            <w:r>
              <w:rPr>
                <w:rFonts w:hint="eastAsia" w:cs="宋体"/>
                <w:color w:val="auto"/>
                <w:sz w:val="21"/>
                <w:szCs w:val="16"/>
                <w:highlight w:val="none"/>
                <w:lang w:val="en-US" w:eastAsia="zh-CN"/>
              </w:rPr>
              <w:t>5</w:t>
            </w:r>
            <w:r>
              <w:rPr>
                <w:rFonts w:hint="eastAsia" w:cs="宋体"/>
                <w:color w:val="auto"/>
                <w:sz w:val="21"/>
                <w:szCs w:val="16"/>
                <w:highlight w:val="none"/>
              </w:rPr>
              <w:t>个</w:t>
            </w:r>
          </w:p>
        </w:tc>
        <w:tc>
          <w:tcPr>
            <w:tcW w:w="230" w:type="pct"/>
            <w:shd w:val="clear" w:color="auto" w:fill="auto"/>
            <w:vAlign w:val="center"/>
          </w:tcPr>
          <w:p w14:paraId="0B5B7B7C">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w:t>
            </w:r>
          </w:p>
        </w:tc>
        <w:tc>
          <w:tcPr>
            <w:tcW w:w="780" w:type="pct"/>
            <w:shd w:val="clear" w:color="auto" w:fill="auto"/>
            <w:vAlign w:val="center"/>
          </w:tcPr>
          <w:p w14:paraId="72D361EB">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考察新建或提档升级农村综合服务社情况，反映履职目标的实现程度</w:t>
            </w:r>
          </w:p>
        </w:tc>
        <w:tc>
          <w:tcPr>
            <w:tcW w:w="1181" w:type="pct"/>
            <w:shd w:val="clear" w:color="auto" w:fill="auto"/>
            <w:vAlign w:val="center"/>
          </w:tcPr>
          <w:p w14:paraId="7BC2E8E7">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评分规则：新建或提档升级农村综合服务社16个，得满分。</w:t>
            </w:r>
          </w:p>
        </w:tc>
        <w:tc>
          <w:tcPr>
            <w:tcW w:w="942" w:type="pct"/>
            <w:shd w:val="clear" w:color="auto" w:fill="auto"/>
            <w:vAlign w:val="center"/>
          </w:tcPr>
          <w:p w14:paraId="4A057DF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根据2024年市农村供销合作服务体系建设专项资金奖补项目公示，实际新建或提档升级农村综合服务社16个，达成。</w:t>
            </w:r>
          </w:p>
        </w:tc>
        <w:tc>
          <w:tcPr>
            <w:tcW w:w="259" w:type="pct"/>
            <w:shd w:val="clear" w:color="auto" w:fill="auto"/>
            <w:vAlign w:val="center"/>
          </w:tcPr>
          <w:p w14:paraId="18874E4C">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2.00</w:t>
            </w:r>
          </w:p>
        </w:tc>
      </w:tr>
      <w:tr w14:paraId="0E6F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6" w:type="pct"/>
            <w:vMerge w:val="continue"/>
            <w:shd w:val="clear" w:color="auto" w:fill="auto"/>
            <w:vAlign w:val="center"/>
          </w:tcPr>
          <w:p w14:paraId="1FE1F79D">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22297558">
            <w:pPr>
              <w:widowControl/>
              <w:adjustRightInd w:val="0"/>
              <w:snapToGrid w:val="0"/>
              <w:spacing w:line="260" w:lineRule="exact"/>
              <w:ind w:firstLine="0" w:firstLineChars="0"/>
              <w:jc w:val="left"/>
              <w:rPr>
                <w:rFonts w:cs="宋体"/>
                <w:color w:val="auto"/>
                <w:kern w:val="2"/>
                <w:sz w:val="21"/>
                <w:szCs w:val="16"/>
                <w:highlight w:val="none"/>
              </w:rPr>
            </w:pPr>
          </w:p>
        </w:tc>
        <w:tc>
          <w:tcPr>
            <w:tcW w:w="400" w:type="pct"/>
            <w:shd w:val="clear" w:color="auto" w:fill="auto"/>
            <w:vAlign w:val="center"/>
          </w:tcPr>
          <w:p w14:paraId="26BD8E70">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C73领办参办专业合作社数量</w:t>
            </w:r>
          </w:p>
        </w:tc>
        <w:tc>
          <w:tcPr>
            <w:tcW w:w="379" w:type="pct"/>
            <w:shd w:val="clear" w:color="auto" w:fill="auto"/>
            <w:vAlign w:val="center"/>
          </w:tcPr>
          <w:p w14:paraId="344ACA38">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≥5个</w:t>
            </w:r>
          </w:p>
        </w:tc>
        <w:tc>
          <w:tcPr>
            <w:tcW w:w="230" w:type="pct"/>
            <w:shd w:val="clear" w:color="auto" w:fill="auto"/>
            <w:vAlign w:val="center"/>
          </w:tcPr>
          <w:p w14:paraId="0CB48B41">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w:t>
            </w:r>
          </w:p>
        </w:tc>
        <w:tc>
          <w:tcPr>
            <w:tcW w:w="780" w:type="pct"/>
            <w:shd w:val="clear" w:color="auto" w:fill="auto"/>
            <w:vAlign w:val="center"/>
          </w:tcPr>
          <w:p w14:paraId="7C6BE352">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考察领办参办专业合作社情况，反映履职目标的实现程度</w:t>
            </w:r>
          </w:p>
        </w:tc>
        <w:tc>
          <w:tcPr>
            <w:tcW w:w="1181" w:type="pct"/>
            <w:shd w:val="clear" w:color="auto" w:fill="auto"/>
            <w:vAlign w:val="center"/>
          </w:tcPr>
          <w:p w14:paraId="47AEC301">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评分规则：领办参办专业合作社25个，得满分。</w:t>
            </w:r>
          </w:p>
        </w:tc>
        <w:tc>
          <w:tcPr>
            <w:tcW w:w="942" w:type="pct"/>
            <w:shd w:val="clear" w:color="auto" w:fill="auto"/>
            <w:vAlign w:val="center"/>
          </w:tcPr>
          <w:p w14:paraId="5A701C50">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根据2024年市农村供销合作服务体系建设专项资金奖补项目公示，实际领办参办专业合作社23个，达成。</w:t>
            </w:r>
          </w:p>
        </w:tc>
        <w:tc>
          <w:tcPr>
            <w:tcW w:w="259" w:type="pct"/>
            <w:shd w:val="clear" w:color="auto" w:fill="auto"/>
            <w:vAlign w:val="center"/>
          </w:tcPr>
          <w:p w14:paraId="6345A924">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2.00</w:t>
            </w:r>
          </w:p>
        </w:tc>
      </w:tr>
      <w:tr w14:paraId="02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6" w:type="pct"/>
            <w:vMerge w:val="continue"/>
            <w:shd w:val="clear" w:color="auto" w:fill="auto"/>
            <w:vAlign w:val="center"/>
          </w:tcPr>
          <w:p w14:paraId="5EF4D08C">
            <w:pPr>
              <w:widowControl/>
              <w:adjustRightInd w:val="0"/>
              <w:snapToGrid w:val="0"/>
              <w:spacing w:line="260" w:lineRule="exact"/>
              <w:ind w:firstLine="0" w:firstLineChars="0"/>
              <w:jc w:val="center"/>
              <w:rPr>
                <w:rFonts w:cs="宋体"/>
                <w:kern w:val="2"/>
                <w:sz w:val="21"/>
                <w:szCs w:val="16"/>
              </w:rPr>
            </w:pPr>
          </w:p>
        </w:tc>
        <w:tc>
          <w:tcPr>
            <w:tcW w:w="551" w:type="pct"/>
            <w:shd w:val="clear" w:color="auto" w:fill="auto"/>
            <w:vAlign w:val="center"/>
          </w:tcPr>
          <w:p w14:paraId="711D8F9D">
            <w:pPr>
              <w:widowControl/>
              <w:adjustRightInd w:val="0"/>
              <w:snapToGrid w:val="0"/>
              <w:spacing w:line="260" w:lineRule="exact"/>
              <w:ind w:firstLine="0" w:firstLineChars="0"/>
              <w:jc w:val="left"/>
              <w:rPr>
                <w:rFonts w:cs="宋体"/>
                <w:color w:val="auto"/>
                <w:kern w:val="2"/>
                <w:sz w:val="21"/>
                <w:szCs w:val="16"/>
                <w:highlight w:val="none"/>
              </w:rPr>
            </w:pPr>
            <w:r>
              <w:rPr>
                <w:rFonts w:hint="eastAsia" w:cs="宋体"/>
                <w:color w:val="auto"/>
                <w:kern w:val="2"/>
                <w:sz w:val="21"/>
                <w:szCs w:val="16"/>
                <w:highlight w:val="none"/>
              </w:rPr>
              <w:t>C</w:t>
            </w:r>
            <w:r>
              <w:rPr>
                <w:rFonts w:hint="eastAsia" w:cs="宋体"/>
                <w:color w:val="auto"/>
                <w:sz w:val="21"/>
                <w:szCs w:val="16"/>
                <w:highlight w:val="none"/>
              </w:rPr>
              <w:t>8农业农村综合服务项目建设（</w:t>
            </w:r>
            <w:r>
              <w:rPr>
                <w:rFonts w:hint="eastAsia" w:cs="宋体"/>
                <w:color w:val="auto"/>
                <w:sz w:val="21"/>
                <w:szCs w:val="16"/>
                <w:highlight w:val="none"/>
                <w:lang w:val="en-US" w:eastAsia="zh-CN"/>
              </w:rPr>
              <w:t>2</w:t>
            </w:r>
            <w:r>
              <w:rPr>
                <w:rFonts w:hint="eastAsia" w:cs="宋体"/>
                <w:color w:val="auto"/>
                <w:sz w:val="21"/>
                <w:szCs w:val="16"/>
                <w:highlight w:val="none"/>
              </w:rPr>
              <w:t>）</w:t>
            </w:r>
          </w:p>
        </w:tc>
        <w:tc>
          <w:tcPr>
            <w:tcW w:w="400" w:type="pct"/>
            <w:shd w:val="clear" w:color="auto" w:fill="auto"/>
            <w:vAlign w:val="center"/>
          </w:tcPr>
          <w:p w14:paraId="058A7D86">
            <w:pPr>
              <w:widowControl/>
              <w:adjustRightInd w:val="0"/>
              <w:snapToGrid w:val="0"/>
              <w:spacing w:line="260" w:lineRule="exact"/>
              <w:ind w:firstLine="0" w:firstLineChars="0"/>
              <w:textAlignment w:val="center"/>
              <w:rPr>
                <w:rFonts w:hint="default" w:cs="宋体"/>
                <w:color w:val="auto"/>
                <w:sz w:val="21"/>
                <w:szCs w:val="16"/>
                <w:highlight w:val="none"/>
                <w:lang w:val="en-US"/>
              </w:rPr>
            </w:pPr>
            <w:r>
              <w:rPr>
                <w:rFonts w:hint="eastAsia" w:cs="宋体"/>
                <w:color w:val="auto"/>
                <w:sz w:val="21"/>
                <w:szCs w:val="16"/>
                <w:highlight w:val="none"/>
              </w:rPr>
              <w:t>C</w:t>
            </w:r>
            <w:r>
              <w:rPr>
                <w:rFonts w:hint="eastAsia" w:cs="宋体"/>
                <w:color w:val="auto"/>
                <w:sz w:val="21"/>
                <w:szCs w:val="16"/>
                <w:highlight w:val="none"/>
                <w:lang w:val="en-US" w:eastAsia="zh-CN"/>
              </w:rPr>
              <w:t>81</w:t>
            </w:r>
            <w:r>
              <w:rPr>
                <w:rFonts w:hint="eastAsia" w:cs="宋体"/>
                <w:color w:val="auto"/>
                <w:sz w:val="21"/>
                <w:szCs w:val="16"/>
                <w:highlight w:val="none"/>
              </w:rPr>
              <w:t>建设小型农业农村综合服务中心数量</w:t>
            </w:r>
            <w:r>
              <w:rPr>
                <w:rFonts w:hint="eastAsia" w:cs="宋体"/>
                <w:color w:val="auto"/>
                <w:sz w:val="21"/>
                <w:szCs w:val="16"/>
                <w:highlight w:val="none"/>
                <w:lang w:val="en-US" w:eastAsia="zh-CN"/>
              </w:rPr>
              <w:t>数量</w:t>
            </w:r>
          </w:p>
        </w:tc>
        <w:tc>
          <w:tcPr>
            <w:tcW w:w="379" w:type="pct"/>
            <w:shd w:val="clear" w:color="auto" w:fill="auto"/>
            <w:vAlign w:val="center"/>
          </w:tcPr>
          <w:p w14:paraId="278D745A">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≥1个</w:t>
            </w:r>
          </w:p>
        </w:tc>
        <w:tc>
          <w:tcPr>
            <w:tcW w:w="230" w:type="pct"/>
            <w:shd w:val="clear" w:color="auto" w:fill="auto"/>
            <w:vAlign w:val="center"/>
          </w:tcPr>
          <w:p w14:paraId="09B9D758">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w:t>
            </w:r>
          </w:p>
        </w:tc>
        <w:tc>
          <w:tcPr>
            <w:tcW w:w="780" w:type="pct"/>
            <w:shd w:val="clear" w:color="auto" w:fill="auto"/>
            <w:vAlign w:val="center"/>
          </w:tcPr>
          <w:p w14:paraId="4BCA8DC7">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考察扶持农业生产服务中心(现代农业综合服务中心</w:t>
            </w:r>
            <w:r>
              <w:rPr>
                <w:rFonts w:hint="eastAsia" w:cs="宋体"/>
                <w:color w:val="auto"/>
                <w:sz w:val="21"/>
                <w:szCs w:val="16"/>
                <w:highlight w:val="none"/>
                <w:lang w:val="en-US" w:eastAsia="zh-CN"/>
              </w:rPr>
              <w:t>)</w:t>
            </w:r>
            <w:r>
              <w:rPr>
                <w:rFonts w:hint="eastAsia" w:cs="宋体"/>
                <w:color w:val="auto"/>
                <w:sz w:val="21"/>
                <w:szCs w:val="16"/>
                <w:highlight w:val="none"/>
              </w:rPr>
              <w:t>情况，反映履职目标的实现程度</w:t>
            </w:r>
          </w:p>
        </w:tc>
        <w:tc>
          <w:tcPr>
            <w:tcW w:w="1181" w:type="pct"/>
            <w:shd w:val="clear" w:color="auto" w:fill="auto"/>
            <w:vAlign w:val="center"/>
          </w:tcPr>
          <w:p w14:paraId="24E9EF44">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评分规则：扶持农业生产服务中心(现代农业综合服务中心</w:t>
            </w:r>
            <w:r>
              <w:rPr>
                <w:rFonts w:hint="eastAsia" w:cs="宋体"/>
                <w:color w:val="auto"/>
                <w:sz w:val="21"/>
                <w:szCs w:val="16"/>
                <w:highlight w:val="none"/>
                <w:lang w:val="en-US" w:eastAsia="zh-CN"/>
              </w:rPr>
              <w:t>)</w:t>
            </w:r>
            <w:r>
              <w:rPr>
                <w:rFonts w:hint="eastAsia" w:cs="宋体"/>
                <w:color w:val="auto"/>
                <w:sz w:val="21"/>
                <w:szCs w:val="16"/>
                <w:highlight w:val="none"/>
              </w:rPr>
              <w:t>建设1个，得满分。</w:t>
            </w:r>
          </w:p>
        </w:tc>
        <w:tc>
          <w:tcPr>
            <w:tcW w:w="942" w:type="pct"/>
            <w:shd w:val="clear" w:color="auto" w:fill="auto"/>
            <w:vAlign w:val="center"/>
          </w:tcPr>
          <w:p w14:paraId="08672587">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根据2024年市农村供销合作服务体系建设专项资金奖补项目公示，扶持农业生产服务中心建设4个，达成。</w:t>
            </w:r>
          </w:p>
        </w:tc>
        <w:tc>
          <w:tcPr>
            <w:tcW w:w="259" w:type="pct"/>
            <w:shd w:val="clear" w:color="auto" w:fill="auto"/>
            <w:vAlign w:val="center"/>
          </w:tcPr>
          <w:p w14:paraId="7AE810B2">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2.00</w:t>
            </w:r>
          </w:p>
        </w:tc>
      </w:tr>
      <w:tr w14:paraId="4054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 w:type="pct"/>
            <w:vMerge w:val="continue"/>
            <w:shd w:val="clear" w:color="auto" w:fill="auto"/>
            <w:vAlign w:val="center"/>
          </w:tcPr>
          <w:p w14:paraId="2437CE06">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52A9B882">
            <w:pPr>
              <w:widowControl/>
              <w:adjustRightInd w:val="0"/>
              <w:snapToGrid w:val="0"/>
              <w:spacing w:line="260" w:lineRule="exact"/>
              <w:ind w:firstLine="0" w:firstLineChars="0"/>
              <w:rPr>
                <w:rFonts w:cs="宋体"/>
                <w:color w:val="auto"/>
                <w:kern w:val="2"/>
                <w:sz w:val="21"/>
                <w:szCs w:val="16"/>
                <w:highlight w:val="none"/>
              </w:rPr>
            </w:pPr>
            <w:r>
              <w:rPr>
                <w:rFonts w:hint="eastAsia" w:cs="宋体"/>
                <w:color w:val="auto"/>
                <w:kern w:val="2"/>
                <w:sz w:val="21"/>
                <w:szCs w:val="16"/>
                <w:highlight w:val="none"/>
              </w:rPr>
              <w:t>C9农村现代流通</w:t>
            </w:r>
            <w:r>
              <w:rPr>
                <w:rFonts w:hint="eastAsia" w:cs="宋体"/>
                <w:color w:val="auto"/>
                <w:kern w:val="2"/>
                <w:sz w:val="21"/>
                <w:szCs w:val="16"/>
                <w:highlight w:val="none"/>
                <w:lang w:val="en-US" w:eastAsia="zh-CN"/>
              </w:rPr>
              <w:t>项目</w:t>
            </w:r>
            <w:r>
              <w:rPr>
                <w:rFonts w:hint="eastAsia" w:cs="宋体"/>
                <w:color w:val="auto"/>
                <w:kern w:val="2"/>
                <w:sz w:val="21"/>
                <w:szCs w:val="16"/>
                <w:highlight w:val="none"/>
              </w:rPr>
              <w:t>建设（</w:t>
            </w:r>
            <w:r>
              <w:rPr>
                <w:rFonts w:hint="eastAsia" w:cs="宋体"/>
                <w:color w:val="auto"/>
                <w:kern w:val="2"/>
                <w:sz w:val="21"/>
                <w:szCs w:val="16"/>
                <w:highlight w:val="none"/>
                <w:lang w:val="en-US" w:eastAsia="zh-CN"/>
              </w:rPr>
              <w:t>8</w:t>
            </w:r>
            <w:r>
              <w:rPr>
                <w:rFonts w:hint="eastAsia" w:cs="宋体"/>
                <w:color w:val="auto"/>
                <w:kern w:val="2"/>
                <w:sz w:val="21"/>
                <w:szCs w:val="16"/>
                <w:highlight w:val="none"/>
              </w:rPr>
              <w:t>）</w:t>
            </w:r>
          </w:p>
        </w:tc>
        <w:tc>
          <w:tcPr>
            <w:tcW w:w="400" w:type="pct"/>
            <w:shd w:val="clear" w:color="auto" w:fill="auto"/>
            <w:vAlign w:val="center"/>
          </w:tcPr>
          <w:p w14:paraId="3B411ECA">
            <w:pPr>
              <w:widowControl/>
              <w:adjustRightInd w:val="0"/>
              <w:snapToGrid w:val="0"/>
              <w:spacing w:line="260" w:lineRule="exact"/>
              <w:ind w:firstLine="0" w:firstLineChars="0"/>
              <w:textAlignment w:val="center"/>
              <w:rPr>
                <w:rFonts w:hint="eastAsia" w:cs="宋体"/>
                <w:color w:val="auto"/>
                <w:sz w:val="21"/>
                <w:szCs w:val="16"/>
                <w:highlight w:val="none"/>
              </w:rPr>
            </w:pPr>
            <w:r>
              <w:rPr>
                <w:rFonts w:hint="eastAsia" w:cs="宋体"/>
                <w:color w:val="auto"/>
                <w:sz w:val="21"/>
                <w:szCs w:val="16"/>
                <w:highlight w:val="none"/>
              </w:rPr>
              <w:t>C</w:t>
            </w:r>
            <w:r>
              <w:rPr>
                <w:rFonts w:hint="eastAsia" w:cs="宋体"/>
                <w:color w:val="auto"/>
                <w:sz w:val="21"/>
                <w:szCs w:val="16"/>
                <w:highlight w:val="none"/>
                <w:lang w:val="en-US" w:eastAsia="zh-CN"/>
              </w:rPr>
              <w:t>91</w:t>
            </w:r>
            <w:r>
              <w:rPr>
                <w:rFonts w:hint="eastAsia" w:cs="宋体"/>
                <w:color w:val="auto"/>
                <w:sz w:val="21"/>
                <w:szCs w:val="16"/>
                <w:highlight w:val="none"/>
              </w:rPr>
              <w:t>组织参加农产品展示展销活动场次</w:t>
            </w:r>
          </w:p>
        </w:tc>
        <w:tc>
          <w:tcPr>
            <w:tcW w:w="379" w:type="pct"/>
            <w:shd w:val="clear" w:color="auto" w:fill="auto"/>
            <w:vAlign w:val="center"/>
          </w:tcPr>
          <w:p w14:paraId="302EB580">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w:t>
            </w:r>
            <w:r>
              <w:rPr>
                <w:rFonts w:hint="eastAsia" w:cs="宋体"/>
                <w:color w:val="auto"/>
                <w:sz w:val="21"/>
                <w:szCs w:val="16"/>
                <w:highlight w:val="none"/>
                <w:lang w:val="en-US" w:eastAsia="zh-CN"/>
              </w:rPr>
              <w:t>7</w:t>
            </w:r>
            <w:r>
              <w:rPr>
                <w:rFonts w:hint="eastAsia" w:cs="宋体"/>
                <w:color w:val="auto"/>
                <w:sz w:val="21"/>
                <w:szCs w:val="16"/>
                <w:highlight w:val="none"/>
              </w:rPr>
              <w:t>次</w:t>
            </w:r>
          </w:p>
        </w:tc>
        <w:tc>
          <w:tcPr>
            <w:tcW w:w="230" w:type="pct"/>
            <w:shd w:val="clear" w:color="auto" w:fill="auto"/>
            <w:vAlign w:val="center"/>
          </w:tcPr>
          <w:p w14:paraId="77119203">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1</w:t>
            </w:r>
          </w:p>
        </w:tc>
        <w:tc>
          <w:tcPr>
            <w:tcW w:w="780" w:type="pct"/>
            <w:shd w:val="clear" w:color="auto" w:fill="auto"/>
            <w:vAlign w:val="center"/>
          </w:tcPr>
          <w:p w14:paraId="0BCA9637">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考察农产品展示展销活动开展情况，反映履职目标的实际程度</w:t>
            </w:r>
          </w:p>
        </w:tc>
        <w:tc>
          <w:tcPr>
            <w:tcW w:w="1181" w:type="pct"/>
            <w:shd w:val="clear" w:color="auto" w:fill="auto"/>
            <w:vAlign w:val="center"/>
          </w:tcPr>
          <w:p w14:paraId="32D98D80">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评价规则：农产品展示展销活动场次≥</w:t>
            </w:r>
            <w:r>
              <w:rPr>
                <w:rFonts w:hint="eastAsia" w:cs="宋体"/>
                <w:color w:val="auto"/>
                <w:sz w:val="21"/>
                <w:szCs w:val="16"/>
                <w:highlight w:val="none"/>
                <w:lang w:val="en-US" w:eastAsia="zh-CN"/>
              </w:rPr>
              <w:t>7</w:t>
            </w:r>
            <w:r>
              <w:rPr>
                <w:rFonts w:hint="eastAsia" w:cs="宋体"/>
                <w:color w:val="auto"/>
                <w:sz w:val="21"/>
                <w:szCs w:val="16"/>
                <w:highlight w:val="none"/>
              </w:rPr>
              <w:t>次，得满分。</w:t>
            </w:r>
          </w:p>
        </w:tc>
        <w:tc>
          <w:tcPr>
            <w:tcW w:w="942" w:type="pct"/>
            <w:shd w:val="clear" w:color="auto" w:fill="auto"/>
            <w:vAlign w:val="center"/>
          </w:tcPr>
          <w:p w14:paraId="1535DECC">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根据“南京市供销合作社第六届理事会第八次全体会议工作报告”中“南京供销大集”开展农产品进社区、进广场、进机关等展会7次。</w:t>
            </w:r>
          </w:p>
        </w:tc>
        <w:tc>
          <w:tcPr>
            <w:tcW w:w="259" w:type="pct"/>
            <w:shd w:val="clear" w:color="auto" w:fill="auto"/>
            <w:vAlign w:val="center"/>
          </w:tcPr>
          <w:p w14:paraId="15653CBA">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highlight w:val="none"/>
                <w:lang w:val="en-US" w:eastAsia="zh-CN" w:bidi="ar-SA"/>
              </w:rPr>
            </w:pPr>
            <w:r>
              <w:rPr>
                <w:rFonts w:hint="eastAsia" w:cs="宋体"/>
                <w:sz w:val="21"/>
                <w:szCs w:val="16"/>
                <w:highlight w:val="none"/>
              </w:rPr>
              <w:t>1.00</w:t>
            </w:r>
          </w:p>
        </w:tc>
      </w:tr>
      <w:tr w14:paraId="44D4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 w:type="pct"/>
            <w:vMerge w:val="continue"/>
            <w:shd w:val="clear" w:color="auto" w:fill="auto"/>
            <w:vAlign w:val="center"/>
          </w:tcPr>
          <w:p w14:paraId="64D7C1CF">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4D3EA4B">
            <w:pPr>
              <w:widowControl/>
              <w:adjustRightInd w:val="0"/>
              <w:snapToGrid w:val="0"/>
              <w:spacing w:line="260" w:lineRule="exact"/>
              <w:ind w:firstLine="0" w:firstLineChars="0"/>
              <w:rPr>
                <w:rFonts w:cs="宋体"/>
                <w:color w:val="auto"/>
                <w:kern w:val="2"/>
                <w:sz w:val="21"/>
                <w:szCs w:val="16"/>
                <w:highlight w:val="none"/>
              </w:rPr>
            </w:pPr>
          </w:p>
        </w:tc>
        <w:tc>
          <w:tcPr>
            <w:tcW w:w="400" w:type="pct"/>
            <w:shd w:val="clear" w:color="auto" w:fill="auto"/>
            <w:vAlign w:val="center"/>
          </w:tcPr>
          <w:p w14:paraId="69F85237">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C</w:t>
            </w:r>
            <w:r>
              <w:rPr>
                <w:rFonts w:hint="eastAsia" w:cs="宋体"/>
                <w:color w:val="auto"/>
                <w:sz w:val="21"/>
                <w:szCs w:val="16"/>
                <w:highlight w:val="none"/>
                <w:lang w:val="en-US" w:eastAsia="zh-CN"/>
              </w:rPr>
              <w:t>92</w:t>
            </w:r>
            <w:r>
              <w:rPr>
                <w:rFonts w:hint="eastAsia" w:cs="宋体"/>
                <w:color w:val="auto"/>
                <w:sz w:val="21"/>
                <w:szCs w:val="16"/>
                <w:highlight w:val="none"/>
              </w:rPr>
              <w:t>新建镇（街）级电商服务站数量</w:t>
            </w:r>
          </w:p>
        </w:tc>
        <w:tc>
          <w:tcPr>
            <w:tcW w:w="379" w:type="pct"/>
            <w:shd w:val="clear" w:color="auto" w:fill="auto"/>
            <w:vAlign w:val="center"/>
          </w:tcPr>
          <w:p w14:paraId="3757BBBA">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≥1个</w:t>
            </w:r>
          </w:p>
        </w:tc>
        <w:tc>
          <w:tcPr>
            <w:tcW w:w="230" w:type="pct"/>
            <w:shd w:val="clear" w:color="auto" w:fill="auto"/>
            <w:vAlign w:val="center"/>
          </w:tcPr>
          <w:p w14:paraId="20799D9F">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1</w:t>
            </w:r>
          </w:p>
        </w:tc>
        <w:tc>
          <w:tcPr>
            <w:tcW w:w="780" w:type="pct"/>
            <w:shd w:val="clear" w:color="auto" w:fill="auto"/>
            <w:vAlign w:val="center"/>
          </w:tcPr>
          <w:p w14:paraId="4A734EBD">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考察镇（街）级电商服务点建设情况，反映履职目标的实现程度</w:t>
            </w:r>
          </w:p>
        </w:tc>
        <w:tc>
          <w:tcPr>
            <w:tcW w:w="1181" w:type="pct"/>
            <w:shd w:val="clear" w:color="auto" w:fill="auto"/>
            <w:vAlign w:val="center"/>
          </w:tcPr>
          <w:p w14:paraId="50D4F3CC">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评分规则：镇（街）级电商服务点建设</w:t>
            </w:r>
            <w:r>
              <w:rPr>
                <w:rFonts w:hint="eastAsia" w:cs="宋体"/>
                <w:color w:val="auto"/>
                <w:sz w:val="21"/>
                <w:szCs w:val="16"/>
                <w:highlight w:val="none"/>
                <w:lang w:val="en-US" w:eastAsia="zh-CN"/>
              </w:rPr>
              <w:t>不少于1</w:t>
            </w:r>
            <w:r>
              <w:rPr>
                <w:rFonts w:hint="eastAsia" w:cs="宋体"/>
                <w:color w:val="auto"/>
                <w:sz w:val="21"/>
                <w:szCs w:val="16"/>
                <w:highlight w:val="none"/>
              </w:rPr>
              <w:t>个，得满分</w:t>
            </w:r>
            <w:r>
              <w:rPr>
                <w:rFonts w:hint="eastAsia" w:cs="宋体"/>
                <w:color w:val="auto"/>
                <w:sz w:val="21"/>
                <w:szCs w:val="16"/>
                <w:highlight w:val="none"/>
                <w:lang w:eastAsia="zh-CN"/>
              </w:rPr>
              <w:t>，</w:t>
            </w:r>
            <w:r>
              <w:rPr>
                <w:rFonts w:hint="eastAsia" w:cs="宋体"/>
                <w:color w:val="auto"/>
                <w:sz w:val="21"/>
                <w:szCs w:val="16"/>
                <w:highlight w:val="none"/>
                <w:lang w:val="en-US" w:eastAsia="zh-CN"/>
              </w:rPr>
              <w:t>少于1个不得分。</w:t>
            </w:r>
          </w:p>
        </w:tc>
        <w:tc>
          <w:tcPr>
            <w:tcW w:w="942" w:type="pct"/>
            <w:shd w:val="clear" w:color="auto" w:fill="auto"/>
            <w:vAlign w:val="center"/>
          </w:tcPr>
          <w:p w14:paraId="54348544">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根据2024年市农村供销合作服务体系建设专项资金奖补项目公示，2024年镇（街）级电商服务点建设</w:t>
            </w:r>
            <w:r>
              <w:rPr>
                <w:rFonts w:hint="eastAsia" w:cs="宋体"/>
                <w:color w:val="auto"/>
                <w:sz w:val="21"/>
                <w:szCs w:val="16"/>
                <w:highlight w:val="none"/>
                <w:lang w:val="en-US" w:eastAsia="zh-CN"/>
              </w:rPr>
              <w:t>1</w:t>
            </w:r>
            <w:r>
              <w:rPr>
                <w:rFonts w:hint="eastAsia" w:cs="宋体"/>
                <w:color w:val="auto"/>
                <w:sz w:val="21"/>
                <w:szCs w:val="16"/>
                <w:highlight w:val="none"/>
              </w:rPr>
              <w:t>个，达成。</w:t>
            </w:r>
          </w:p>
        </w:tc>
        <w:tc>
          <w:tcPr>
            <w:tcW w:w="259" w:type="pct"/>
            <w:shd w:val="clear" w:color="auto" w:fill="auto"/>
            <w:vAlign w:val="center"/>
          </w:tcPr>
          <w:p w14:paraId="1382AF9A">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highlight w:val="none"/>
                <w:lang w:val="en-US" w:eastAsia="zh-CN" w:bidi="ar-SA"/>
              </w:rPr>
            </w:pPr>
            <w:r>
              <w:rPr>
                <w:rFonts w:hint="eastAsia" w:cs="宋体"/>
                <w:sz w:val="21"/>
                <w:szCs w:val="16"/>
                <w:highlight w:val="none"/>
              </w:rPr>
              <w:t>1.00</w:t>
            </w:r>
          </w:p>
        </w:tc>
      </w:tr>
      <w:tr w14:paraId="7D3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 w:type="pct"/>
            <w:vMerge w:val="continue"/>
            <w:shd w:val="clear" w:color="auto" w:fill="auto"/>
            <w:vAlign w:val="center"/>
          </w:tcPr>
          <w:p w14:paraId="06E47831">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50A0FBEC">
            <w:pPr>
              <w:widowControl/>
              <w:adjustRightInd w:val="0"/>
              <w:snapToGrid w:val="0"/>
              <w:spacing w:line="260" w:lineRule="exact"/>
              <w:ind w:firstLine="0" w:firstLineChars="0"/>
              <w:rPr>
                <w:rFonts w:cs="宋体"/>
                <w:color w:val="auto"/>
                <w:kern w:val="2"/>
                <w:sz w:val="21"/>
                <w:szCs w:val="16"/>
                <w:highlight w:val="none"/>
              </w:rPr>
            </w:pPr>
          </w:p>
        </w:tc>
        <w:tc>
          <w:tcPr>
            <w:tcW w:w="400" w:type="pct"/>
            <w:shd w:val="clear" w:color="auto" w:fill="auto"/>
            <w:vAlign w:val="center"/>
          </w:tcPr>
          <w:p w14:paraId="38AE0BF7">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w:t>
            </w:r>
            <w:r>
              <w:rPr>
                <w:rFonts w:hint="eastAsia" w:cs="宋体"/>
                <w:color w:val="auto"/>
                <w:sz w:val="21"/>
                <w:szCs w:val="16"/>
                <w:highlight w:val="none"/>
                <w:lang w:val="en-US" w:eastAsia="zh-CN"/>
              </w:rPr>
              <w:t>93</w:t>
            </w:r>
            <w:r>
              <w:rPr>
                <w:rFonts w:hint="eastAsia" w:cs="宋体"/>
                <w:color w:val="auto"/>
                <w:sz w:val="21"/>
                <w:szCs w:val="16"/>
                <w:highlight w:val="none"/>
              </w:rPr>
              <w:t>改造物流配送中心、冷藏库数量</w:t>
            </w:r>
          </w:p>
        </w:tc>
        <w:tc>
          <w:tcPr>
            <w:tcW w:w="379" w:type="pct"/>
            <w:shd w:val="clear" w:color="auto" w:fill="auto"/>
            <w:vAlign w:val="center"/>
          </w:tcPr>
          <w:p w14:paraId="0F7BBD04">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≥2个</w:t>
            </w:r>
          </w:p>
        </w:tc>
        <w:tc>
          <w:tcPr>
            <w:tcW w:w="230" w:type="pct"/>
            <w:shd w:val="clear" w:color="auto" w:fill="auto"/>
            <w:vAlign w:val="center"/>
          </w:tcPr>
          <w:p w14:paraId="422989E3">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1</w:t>
            </w:r>
          </w:p>
        </w:tc>
        <w:tc>
          <w:tcPr>
            <w:tcW w:w="780" w:type="pct"/>
            <w:shd w:val="clear" w:color="auto" w:fill="auto"/>
            <w:vAlign w:val="center"/>
          </w:tcPr>
          <w:p w14:paraId="4736B168">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考察农村物流配送中心</w:t>
            </w:r>
            <w:r>
              <w:rPr>
                <w:rFonts w:hint="eastAsia" w:cs="宋体"/>
                <w:color w:val="auto"/>
                <w:sz w:val="21"/>
                <w:szCs w:val="16"/>
                <w:highlight w:val="none"/>
                <w:lang w:eastAsia="zh-CN"/>
              </w:rPr>
              <w:t>、</w:t>
            </w:r>
            <w:r>
              <w:rPr>
                <w:rFonts w:hint="eastAsia" w:cs="宋体"/>
                <w:color w:val="auto"/>
                <w:sz w:val="21"/>
                <w:szCs w:val="16"/>
                <w:highlight w:val="none"/>
              </w:rPr>
              <w:t>冷库建设情况，反映履职目标的实现程度</w:t>
            </w:r>
          </w:p>
        </w:tc>
        <w:tc>
          <w:tcPr>
            <w:tcW w:w="1181" w:type="pct"/>
            <w:shd w:val="clear" w:color="auto" w:fill="auto"/>
            <w:vAlign w:val="center"/>
          </w:tcPr>
          <w:p w14:paraId="6D6FF5B4">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评分规则：农村物流配送中心</w:t>
            </w:r>
            <w:r>
              <w:rPr>
                <w:rFonts w:hint="eastAsia" w:cs="宋体"/>
                <w:color w:val="auto"/>
                <w:sz w:val="21"/>
                <w:szCs w:val="16"/>
                <w:highlight w:val="none"/>
                <w:lang w:eastAsia="zh-CN"/>
              </w:rPr>
              <w:t>、</w:t>
            </w:r>
            <w:r>
              <w:rPr>
                <w:rFonts w:hint="eastAsia" w:cs="宋体"/>
                <w:color w:val="auto"/>
                <w:sz w:val="21"/>
                <w:szCs w:val="16"/>
                <w:highlight w:val="none"/>
              </w:rPr>
              <w:t>冷库建设2个，得满分。每减少1个扣0.5分，扣完为止。</w:t>
            </w:r>
          </w:p>
        </w:tc>
        <w:tc>
          <w:tcPr>
            <w:tcW w:w="942" w:type="pct"/>
            <w:shd w:val="clear" w:color="auto" w:fill="auto"/>
            <w:vAlign w:val="center"/>
          </w:tcPr>
          <w:p w14:paraId="236C1CA3">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根据2024年市农村供销合作服务体系建设专项资金奖补项目公示,经营服务综合体建设实际完成2个，达成。</w:t>
            </w:r>
          </w:p>
        </w:tc>
        <w:tc>
          <w:tcPr>
            <w:tcW w:w="259" w:type="pct"/>
            <w:shd w:val="clear" w:color="auto" w:fill="auto"/>
            <w:vAlign w:val="center"/>
          </w:tcPr>
          <w:p w14:paraId="659D6547">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1.00</w:t>
            </w:r>
          </w:p>
        </w:tc>
      </w:tr>
      <w:tr w14:paraId="19D2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6" w:type="pct"/>
            <w:vMerge w:val="continue"/>
            <w:shd w:val="clear" w:color="auto" w:fill="auto"/>
            <w:vAlign w:val="center"/>
          </w:tcPr>
          <w:p w14:paraId="3CE78093">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3B65D9F1">
            <w:pPr>
              <w:widowControl/>
              <w:adjustRightInd w:val="0"/>
              <w:snapToGrid w:val="0"/>
              <w:spacing w:line="260" w:lineRule="exact"/>
              <w:ind w:firstLine="0" w:firstLineChars="0"/>
              <w:rPr>
                <w:rFonts w:cs="宋体"/>
                <w:color w:val="auto"/>
                <w:kern w:val="2"/>
                <w:sz w:val="21"/>
                <w:szCs w:val="16"/>
              </w:rPr>
            </w:pPr>
          </w:p>
        </w:tc>
        <w:tc>
          <w:tcPr>
            <w:tcW w:w="400" w:type="pct"/>
            <w:shd w:val="clear" w:color="auto" w:fill="auto"/>
            <w:vAlign w:val="center"/>
          </w:tcPr>
          <w:p w14:paraId="4B6BA23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w:t>
            </w:r>
            <w:r>
              <w:rPr>
                <w:rFonts w:hint="eastAsia" w:cs="宋体"/>
                <w:color w:val="auto"/>
                <w:sz w:val="21"/>
                <w:szCs w:val="16"/>
                <w:lang w:val="en-US" w:eastAsia="zh-CN"/>
              </w:rPr>
              <w:t>94</w:t>
            </w:r>
            <w:r>
              <w:rPr>
                <w:rFonts w:hint="eastAsia" w:cs="宋体"/>
                <w:color w:val="auto"/>
                <w:sz w:val="21"/>
                <w:szCs w:val="16"/>
              </w:rPr>
              <w:t>农村经营网点信息化建设效果</w:t>
            </w:r>
          </w:p>
        </w:tc>
        <w:tc>
          <w:tcPr>
            <w:tcW w:w="379" w:type="pct"/>
            <w:shd w:val="clear" w:color="auto" w:fill="auto"/>
            <w:vAlign w:val="center"/>
          </w:tcPr>
          <w:p w14:paraId="7D8D3E6B">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明显</w:t>
            </w:r>
          </w:p>
        </w:tc>
        <w:tc>
          <w:tcPr>
            <w:tcW w:w="230" w:type="pct"/>
            <w:shd w:val="clear" w:color="auto" w:fill="auto"/>
            <w:vAlign w:val="center"/>
          </w:tcPr>
          <w:p w14:paraId="11D98719">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w:t>
            </w:r>
          </w:p>
        </w:tc>
        <w:tc>
          <w:tcPr>
            <w:tcW w:w="780" w:type="pct"/>
            <w:shd w:val="clear" w:color="auto" w:fill="auto"/>
            <w:vAlign w:val="center"/>
          </w:tcPr>
          <w:p w14:paraId="47F92D3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考察农村经营网点信息化建设覆盖情况，反映履职目标的实现程度</w:t>
            </w:r>
          </w:p>
        </w:tc>
        <w:tc>
          <w:tcPr>
            <w:tcW w:w="1181" w:type="pct"/>
            <w:shd w:val="clear" w:color="auto" w:fill="auto"/>
            <w:vAlign w:val="center"/>
          </w:tcPr>
          <w:p w14:paraId="2C85108E">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评分规则：农村经营网点信息化全覆盖满分。</w:t>
            </w:r>
          </w:p>
        </w:tc>
        <w:tc>
          <w:tcPr>
            <w:tcW w:w="942" w:type="pct"/>
            <w:shd w:val="clear" w:color="auto" w:fill="auto"/>
            <w:vAlign w:val="center"/>
          </w:tcPr>
          <w:p w14:paraId="056C003D">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根据2024年市农村供销合作服务体系建设专项资金奖补项目公示，实际农村经营网点已覆盖全部乡村，达成。</w:t>
            </w:r>
          </w:p>
        </w:tc>
        <w:tc>
          <w:tcPr>
            <w:tcW w:w="259" w:type="pct"/>
            <w:shd w:val="clear" w:color="auto" w:fill="auto"/>
            <w:vAlign w:val="center"/>
          </w:tcPr>
          <w:p w14:paraId="24FA746F">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643D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76" w:type="pct"/>
            <w:vMerge w:val="continue"/>
            <w:shd w:val="clear" w:color="auto" w:fill="auto"/>
            <w:vAlign w:val="center"/>
          </w:tcPr>
          <w:p w14:paraId="7D401F0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312DD0A">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6ABE4438">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w:t>
            </w:r>
            <w:r>
              <w:rPr>
                <w:rFonts w:hint="eastAsia" w:cs="宋体"/>
                <w:color w:val="auto"/>
                <w:sz w:val="21"/>
                <w:szCs w:val="16"/>
                <w:lang w:val="en-US" w:eastAsia="zh-CN"/>
              </w:rPr>
              <w:t>95</w:t>
            </w:r>
            <w:r>
              <w:rPr>
                <w:rFonts w:cs="宋体"/>
                <w:color w:val="auto"/>
                <w:sz w:val="21"/>
                <w:szCs w:val="16"/>
              </w:rPr>
              <w:t>资金扶持农产品电商销售主体</w:t>
            </w:r>
          </w:p>
        </w:tc>
        <w:tc>
          <w:tcPr>
            <w:tcW w:w="379" w:type="pct"/>
            <w:shd w:val="clear" w:color="auto" w:fill="auto"/>
            <w:vAlign w:val="center"/>
          </w:tcPr>
          <w:p w14:paraId="2D667AFF">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31个</w:t>
            </w:r>
          </w:p>
        </w:tc>
        <w:tc>
          <w:tcPr>
            <w:tcW w:w="230" w:type="pct"/>
            <w:shd w:val="clear" w:color="auto" w:fill="auto"/>
            <w:vAlign w:val="center"/>
          </w:tcPr>
          <w:p w14:paraId="4512BA47">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2</w:t>
            </w:r>
          </w:p>
        </w:tc>
        <w:tc>
          <w:tcPr>
            <w:tcW w:w="780" w:type="pct"/>
            <w:shd w:val="clear" w:color="auto" w:fill="auto"/>
            <w:vAlign w:val="center"/>
          </w:tcPr>
          <w:p w14:paraId="329C4844">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考察本地农产品电商龙头企业培育情况，反映履职目标的实现程度</w:t>
            </w:r>
          </w:p>
        </w:tc>
        <w:tc>
          <w:tcPr>
            <w:tcW w:w="1181" w:type="pct"/>
            <w:shd w:val="clear" w:color="auto" w:fill="auto"/>
            <w:vAlign w:val="center"/>
          </w:tcPr>
          <w:p w14:paraId="324ED1E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评分规则：资金扶持农产品电商销售主体31个，得满分，每少1个扣0.4分</w:t>
            </w:r>
          </w:p>
        </w:tc>
        <w:tc>
          <w:tcPr>
            <w:tcW w:w="942" w:type="pct"/>
            <w:shd w:val="clear" w:color="auto" w:fill="auto"/>
            <w:vAlign w:val="center"/>
          </w:tcPr>
          <w:p w14:paraId="4B95CDAF">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根据2024年市农村供销合作服务体系建设专项资金奖补项目公示，培育本地农产品电商龙头企业29个，少2个，扣0.8分。</w:t>
            </w:r>
          </w:p>
        </w:tc>
        <w:tc>
          <w:tcPr>
            <w:tcW w:w="259" w:type="pct"/>
            <w:shd w:val="clear" w:color="auto" w:fill="auto"/>
            <w:vAlign w:val="center"/>
          </w:tcPr>
          <w:p w14:paraId="0707FEAD">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1.20</w:t>
            </w:r>
          </w:p>
        </w:tc>
      </w:tr>
      <w:tr w14:paraId="610A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76" w:type="pct"/>
            <w:vMerge w:val="continue"/>
            <w:shd w:val="clear" w:color="auto" w:fill="auto"/>
            <w:vAlign w:val="center"/>
          </w:tcPr>
          <w:p w14:paraId="05D71B7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0591819">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246AFB2A">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w:t>
            </w:r>
            <w:r>
              <w:rPr>
                <w:rFonts w:hint="eastAsia" w:cs="宋体"/>
                <w:color w:val="auto"/>
                <w:sz w:val="21"/>
                <w:szCs w:val="16"/>
                <w:lang w:val="en-US" w:eastAsia="zh-CN"/>
              </w:rPr>
              <w:t>96</w:t>
            </w:r>
            <w:r>
              <w:rPr>
                <w:rFonts w:hint="eastAsia" w:cs="宋体"/>
                <w:color w:val="auto"/>
                <w:sz w:val="21"/>
                <w:szCs w:val="16"/>
              </w:rPr>
              <w:t>助农电商直播场次</w:t>
            </w:r>
          </w:p>
        </w:tc>
        <w:tc>
          <w:tcPr>
            <w:tcW w:w="379" w:type="pct"/>
            <w:shd w:val="clear" w:color="auto" w:fill="auto"/>
            <w:vAlign w:val="center"/>
          </w:tcPr>
          <w:p w14:paraId="7E33BE7C">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≥45场</w:t>
            </w:r>
          </w:p>
        </w:tc>
        <w:tc>
          <w:tcPr>
            <w:tcW w:w="230" w:type="pct"/>
            <w:shd w:val="clear" w:color="auto" w:fill="auto"/>
            <w:vAlign w:val="center"/>
          </w:tcPr>
          <w:p w14:paraId="03DF193A">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2</w:t>
            </w:r>
          </w:p>
        </w:tc>
        <w:tc>
          <w:tcPr>
            <w:tcW w:w="780" w:type="pct"/>
            <w:shd w:val="clear" w:color="auto" w:fill="auto"/>
            <w:vAlign w:val="center"/>
          </w:tcPr>
          <w:p w14:paraId="5CED83A7">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考察供销助农电商直播场次情况，反映履职目标的实现程度。</w:t>
            </w:r>
          </w:p>
        </w:tc>
        <w:tc>
          <w:tcPr>
            <w:tcW w:w="1181" w:type="pct"/>
            <w:shd w:val="clear" w:color="auto" w:fill="auto"/>
            <w:vAlign w:val="center"/>
          </w:tcPr>
          <w:p w14:paraId="60C7D9A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评分规则：供销助农电商直播场次≥45场，得满分，每少1场扣0.2分</w:t>
            </w:r>
          </w:p>
        </w:tc>
        <w:tc>
          <w:tcPr>
            <w:tcW w:w="942" w:type="pct"/>
            <w:shd w:val="clear" w:color="auto" w:fill="auto"/>
            <w:vAlign w:val="center"/>
          </w:tcPr>
          <w:p w14:paraId="59AAC0D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根据2024年市农村供销合作服务体系建设专项资金奖补项目公示，2024年供销助农电商直播41场，少4场，扣.0.8分。</w:t>
            </w:r>
          </w:p>
        </w:tc>
        <w:tc>
          <w:tcPr>
            <w:tcW w:w="259" w:type="pct"/>
            <w:shd w:val="clear" w:color="auto" w:fill="auto"/>
            <w:vAlign w:val="center"/>
          </w:tcPr>
          <w:p w14:paraId="0F3D2864">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1.20</w:t>
            </w:r>
          </w:p>
        </w:tc>
      </w:tr>
      <w:tr w14:paraId="3C29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76" w:type="pct"/>
            <w:vMerge w:val="continue"/>
            <w:shd w:val="clear" w:color="auto" w:fill="auto"/>
            <w:vAlign w:val="center"/>
          </w:tcPr>
          <w:p w14:paraId="672EA718">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3B2FC7D4">
            <w:pPr>
              <w:widowControl/>
              <w:adjustRightInd w:val="0"/>
              <w:snapToGrid w:val="0"/>
              <w:spacing w:line="260" w:lineRule="exact"/>
              <w:ind w:firstLine="0" w:firstLineChars="0"/>
              <w:jc w:val="left"/>
              <w:rPr>
                <w:rFonts w:cs="宋体"/>
                <w:color w:val="auto"/>
                <w:kern w:val="2"/>
                <w:sz w:val="21"/>
                <w:szCs w:val="16"/>
                <w:highlight w:val="none"/>
              </w:rPr>
            </w:pPr>
            <w:r>
              <w:rPr>
                <w:rFonts w:hint="eastAsia" w:cs="宋体"/>
                <w:color w:val="auto"/>
                <w:kern w:val="2"/>
                <w:sz w:val="21"/>
                <w:szCs w:val="16"/>
                <w:highlight w:val="none"/>
              </w:rPr>
              <w:t>C10农业社会化服务（</w:t>
            </w:r>
            <w:r>
              <w:rPr>
                <w:rFonts w:hint="eastAsia" w:cs="宋体"/>
                <w:color w:val="auto"/>
                <w:kern w:val="2"/>
                <w:sz w:val="21"/>
                <w:szCs w:val="16"/>
                <w:highlight w:val="none"/>
                <w:lang w:val="en-US" w:eastAsia="zh-CN"/>
              </w:rPr>
              <w:t>6</w:t>
            </w:r>
            <w:r>
              <w:rPr>
                <w:rFonts w:hint="eastAsia" w:cs="宋体"/>
                <w:color w:val="auto"/>
                <w:kern w:val="2"/>
                <w:sz w:val="21"/>
                <w:szCs w:val="16"/>
                <w:highlight w:val="none"/>
              </w:rPr>
              <w:t>）</w:t>
            </w:r>
          </w:p>
        </w:tc>
        <w:tc>
          <w:tcPr>
            <w:tcW w:w="400" w:type="pct"/>
            <w:shd w:val="clear" w:color="auto" w:fill="auto"/>
            <w:vAlign w:val="center"/>
          </w:tcPr>
          <w:p w14:paraId="0B910F0E">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C</w:t>
            </w:r>
            <w:r>
              <w:rPr>
                <w:rFonts w:hint="eastAsia" w:cs="宋体"/>
                <w:color w:val="auto"/>
                <w:sz w:val="21"/>
                <w:szCs w:val="16"/>
                <w:highlight w:val="none"/>
                <w:lang w:val="en-US" w:eastAsia="zh-CN"/>
              </w:rPr>
              <w:t>101</w:t>
            </w:r>
            <w:r>
              <w:rPr>
                <w:rFonts w:hint="eastAsia" w:cs="宋体"/>
                <w:color w:val="auto"/>
                <w:sz w:val="21"/>
                <w:szCs w:val="16"/>
                <w:highlight w:val="none"/>
              </w:rPr>
              <w:t>农业社会化服务面积</w:t>
            </w:r>
          </w:p>
        </w:tc>
        <w:tc>
          <w:tcPr>
            <w:tcW w:w="379" w:type="pct"/>
            <w:shd w:val="clear" w:color="auto" w:fill="auto"/>
            <w:vAlign w:val="center"/>
          </w:tcPr>
          <w:p w14:paraId="0F25D979">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≥80万亩</w:t>
            </w:r>
          </w:p>
        </w:tc>
        <w:tc>
          <w:tcPr>
            <w:tcW w:w="230" w:type="pct"/>
            <w:shd w:val="clear" w:color="auto" w:fill="auto"/>
            <w:vAlign w:val="center"/>
          </w:tcPr>
          <w:p w14:paraId="296937C0">
            <w:pPr>
              <w:widowControl/>
              <w:adjustRightInd w:val="0"/>
              <w:snapToGrid w:val="0"/>
              <w:spacing w:line="260" w:lineRule="exact"/>
              <w:ind w:firstLine="0" w:firstLineChars="0"/>
              <w:jc w:val="center"/>
              <w:textAlignment w:val="center"/>
              <w:rPr>
                <w:rFonts w:cs="宋体"/>
                <w:color w:val="auto"/>
                <w:sz w:val="21"/>
                <w:szCs w:val="16"/>
                <w:highlight w:val="none"/>
              </w:rPr>
            </w:pPr>
            <w:r>
              <w:rPr>
                <w:rFonts w:hint="eastAsia" w:cs="宋体"/>
                <w:color w:val="auto"/>
                <w:sz w:val="21"/>
                <w:szCs w:val="16"/>
                <w:highlight w:val="none"/>
              </w:rPr>
              <w:t>2</w:t>
            </w:r>
          </w:p>
        </w:tc>
        <w:tc>
          <w:tcPr>
            <w:tcW w:w="780" w:type="pct"/>
            <w:shd w:val="clear" w:color="auto" w:fill="auto"/>
            <w:vAlign w:val="center"/>
          </w:tcPr>
          <w:p w14:paraId="5613C164">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考察农业社会化服务面积情况，反映履职目标的实现程度</w:t>
            </w:r>
          </w:p>
        </w:tc>
        <w:tc>
          <w:tcPr>
            <w:tcW w:w="1181" w:type="pct"/>
            <w:shd w:val="clear" w:color="auto" w:fill="auto"/>
            <w:vAlign w:val="center"/>
          </w:tcPr>
          <w:p w14:paraId="4C78663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评分规则：农业社会化服务面积≥80万亩，得满分。</w:t>
            </w:r>
          </w:p>
        </w:tc>
        <w:tc>
          <w:tcPr>
            <w:tcW w:w="942" w:type="pct"/>
            <w:shd w:val="clear" w:color="auto" w:fill="auto"/>
            <w:vAlign w:val="center"/>
          </w:tcPr>
          <w:p w14:paraId="271A493F">
            <w:pPr>
              <w:widowControl/>
              <w:adjustRightInd w:val="0"/>
              <w:snapToGrid w:val="0"/>
              <w:spacing w:line="260" w:lineRule="exact"/>
              <w:ind w:firstLine="0" w:firstLineChars="0"/>
              <w:textAlignment w:val="center"/>
              <w:rPr>
                <w:rFonts w:cs="宋体"/>
                <w:color w:val="auto"/>
                <w:sz w:val="21"/>
                <w:szCs w:val="16"/>
                <w:highlight w:val="none"/>
              </w:rPr>
            </w:pPr>
            <w:r>
              <w:rPr>
                <w:rFonts w:hint="eastAsia" w:cs="宋体"/>
                <w:color w:val="auto"/>
                <w:sz w:val="21"/>
                <w:szCs w:val="16"/>
                <w:highlight w:val="none"/>
              </w:rPr>
              <w:t>根据“南京市供销合作社第六届理事会第八次全体会议工作报告”，2024年农业社会化服务面积101万亩，达成。</w:t>
            </w:r>
          </w:p>
        </w:tc>
        <w:tc>
          <w:tcPr>
            <w:tcW w:w="259" w:type="pct"/>
            <w:shd w:val="clear" w:color="auto" w:fill="auto"/>
            <w:vAlign w:val="center"/>
          </w:tcPr>
          <w:p w14:paraId="0EADB46E">
            <w:pPr>
              <w:widowControl/>
              <w:adjustRightInd w:val="0"/>
              <w:snapToGrid w:val="0"/>
              <w:spacing w:line="260" w:lineRule="exact"/>
              <w:ind w:firstLine="0" w:firstLineChars="0"/>
              <w:jc w:val="center"/>
              <w:textAlignment w:val="center"/>
              <w:rPr>
                <w:rFonts w:cs="宋体"/>
                <w:sz w:val="21"/>
                <w:szCs w:val="16"/>
                <w:highlight w:val="none"/>
              </w:rPr>
            </w:pPr>
            <w:r>
              <w:rPr>
                <w:rFonts w:hint="eastAsia" w:cs="宋体"/>
                <w:sz w:val="21"/>
                <w:szCs w:val="16"/>
                <w:highlight w:val="none"/>
              </w:rPr>
              <w:t>2.00</w:t>
            </w:r>
          </w:p>
        </w:tc>
      </w:tr>
      <w:tr w14:paraId="576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76" w:type="pct"/>
            <w:vMerge w:val="continue"/>
            <w:shd w:val="clear" w:color="auto" w:fill="auto"/>
            <w:vAlign w:val="center"/>
          </w:tcPr>
          <w:p w14:paraId="0FE5A2A9">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5F8B557D">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6DF84784">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C</w:t>
            </w:r>
            <w:r>
              <w:rPr>
                <w:rFonts w:hint="eastAsia" w:cs="宋体"/>
                <w:color w:val="auto"/>
                <w:sz w:val="21"/>
                <w:szCs w:val="16"/>
                <w:highlight w:val="none"/>
                <w:lang w:val="en-US" w:eastAsia="zh-CN"/>
              </w:rPr>
              <w:t>102</w:t>
            </w:r>
            <w:r>
              <w:rPr>
                <w:rFonts w:hint="eastAsia" w:cs="宋体"/>
                <w:color w:val="auto"/>
                <w:sz w:val="21"/>
                <w:szCs w:val="16"/>
                <w:highlight w:val="none"/>
              </w:rPr>
              <w:t>零差率农药销售额</w:t>
            </w:r>
          </w:p>
        </w:tc>
        <w:tc>
          <w:tcPr>
            <w:tcW w:w="379" w:type="pct"/>
            <w:shd w:val="clear" w:color="auto" w:fill="auto"/>
            <w:vAlign w:val="center"/>
          </w:tcPr>
          <w:p w14:paraId="5CE8DC66">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≥5000万元</w:t>
            </w:r>
          </w:p>
        </w:tc>
        <w:tc>
          <w:tcPr>
            <w:tcW w:w="230" w:type="pct"/>
            <w:shd w:val="clear" w:color="auto" w:fill="auto"/>
            <w:vAlign w:val="center"/>
          </w:tcPr>
          <w:p w14:paraId="77C4E60F">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2</w:t>
            </w:r>
          </w:p>
        </w:tc>
        <w:tc>
          <w:tcPr>
            <w:tcW w:w="780" w:type="pct"/>
            <w:shd w:val="clear" w:color="auto" w:fill="auto"/>
            <w:vAlign w:val="center"/>
          </w:tcPr>
          <w:p w14:paraId="39D2306A">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考察推进零差率农药销售额情况，反映履职目标的实现程度</w:t>
            </w:r>
          </w:p>
        </w:tc>
        <w:tc>
          <w:tcPr>
            <w:tcW w:w="1181" w:type="pct"/>
            <w:shd w:val="clear" w:color="auto" w:fill="auto"/>
            <w:vAlign w:val="center"/>
          </w:tcPr>
          <w:p w14:paraId="06439A16">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评分规则：推进零差率农药销售额≥3000万元，得满分。</w:t>
            </w:r>
          </w:p>
        </w:tc>
        <w:tc>
          <w:tcPr>
            <w:tcW w:w="942" w:type="pct"/>
            <w:shd w:val="clear" w:color="auto" w:fill="auto"/>
            <w:vAlign w:val="center"/>
          </w:tcPr>
          <w:p w14:paraId="076B15B7">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根据“南京市供销合作社第六届理事会第八次全体会议工作报告”，2024年推进农药零差率工作配供额度</w:t>
            </w:r>
            <w:r>
              <w:rPr>
                <w:rFonts w:hint="eastAsia" w:cs="宋体"/>
                <w:color w:val="auto"/>
                <w:sz w:val="21"/>
                <w:szCs w:val="16"/>
                <w:highlight w:val="none"/>
                <w:lang w:eastAsia="zh-CN"/>
              </w:rPr>
              <w:t>（零差率农药销售额）</w:t>
            </w:r>
            <w:r>
              <w:rPr>
                <w:rFonts w:hint="eastAsia" w:cs="宋体"/>
                <w:color w:val="auto"/>
                <w:sz w:val="21"/>
                <w:szCs w:val="16"/>
                <w:highlight w:val="none"/>
              </w:rPr>
              <w:t>5400余万元，达成。</w:t>
            </w:r>
          </w:p>
        </w:tc>
        <w:tc>
          <w:tcPr>
            <w:tcW w:w="259" w:type="pct"/>
            <w:shd w:val="clear" w:color="auto" w:fill="auto"/>
            <w:vAlign w:val="center"/>
          </w:tcPr>
          <w:p w14:paraId="38D6162C">
            <w:pPr>
              <w:widowControl/>
              <w:adjustRightInd w:val="0"/>
              <w:snapToGrid w:val="0"/>
              <w:spacing w:line="260" w:lineRule="exact"/>
              <w:ind w:firstLine="0" w:firstLineChars="0"/>
              <w:jc w:val="center"/>
              <w:textAlignment w:val="center"/>
              <w:rPr>
                <w:rFonts w:hint="eastAsia" w:ascii="Times New Roman" w:hAnsi="Times New Roman" w:eastAsia="仿宋" w:cs="宋体"/>
                <w:color w:val="000000"/>
                <w:sz w:val="21"/>
                <w:szCs w:val="16"/>
                <w:highlight w:val="none"/>
                <w:lang w:val="en-US" w:eastAsia="zh-CN" w:bidi="ar-SA"/>
              </w:rPr>
            </w:pPr>
            <w:r>
              <w:rPr>
                <w:rFonts w:hint="eastAsia" w:cs="宋体"/>
                <w:sz w:val="21"/>
                <w:szCs w:val="16"/>
                <w:highlight w:val="none"/>
              </w:rPr>
              <w:t>2.00</w:t>
            </w:r>
          </w:p>
        </w:tc>
      </w:tr>
      <w:tr w14:paraId="094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76" w:type="pct"/>
            <w:vMerge w:val="continue"/>
            <w:shd w:val="clear" w:color="auto" w:fill="auto"/>
            <w:vAlign w:val="center"/>
          </w:tcPr>
          <w:p w14:paraId="7A331F8D">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346C1A35">
            <w:pPr>
              <w:widowControl/>
              <w:adjustRightInd w:val="0"/>
              <w:snapToGrid w:val="0"/>
              <w:spacing w:line="260" w:lineRule="exact"/>
              <w:ind w:firstLine="0" w:firstLineChars="0"/>
              <w:jc w:val="left"/>
              <w:rPr>
                <w:rFonts w:cs="宋体"/>
                <w:color w:val="auto"/>
                <w:kern w:val="2"/>
                <w:sz w:val="21"/>
                <w:szCs w:val="16"/>
              </w:rPr>
            </w:pPr>
          </w:p>
        </w:tc>
        <w:tc>
          <w:tcPr>
            <w:tcW w:w="400" w:type="pct"/>
            <w:shd w:val="clear" w:color="auto" w:fill="auto"/>
            <w:vAlign w:val="center"/>
          </w:tcPr>
          <w:p w14:paraId="25AFD40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C</w:t>
            </w:r>
            <w:r>
              <w:rPr>
                <w:rFonts w:hint="eastAsia" w:cs="宋体"/>
                <w:color w:val="auto"/>
                <w:sz w:val="21"/>
                <w:szCs w:val="16"/>
                <w:lang w:val="en-US" w:eastAsia="zh-CN"/>
              </w:rPr>
              <w:t>103</w:t>
            </w:r>
            <w:r>
              <w:rPr>
                <w:rFonts w:hint="eastAsia" w:cs="宋体"/>
                <w:color w:val="auto"/>
                <w:sz w:val="21"/>
                <w:szCs w:val="16"/>
              </w:rPr>
              <w:t>配方施肥、统防统治、农机作业等三项环节服务数量</w:t>
            </w:r>
          </w:p>
        </w:tc>
        <w:tc>
          <w:tcPr>
            <w:tcW w:w="379" w:type="pct"/>
            <w:shd w:val="clear" w:color="auto" w:fill="auto"/>
            <w:vAlign w:val="center"/>
          </w:tcPr>
          <w:p w14:paraId="3993966B">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≥120万亩次</w:t>
            </w:r>
          </w:p>
        </w:tc>
        <w:tc>
          <w:tcPr>
            <w:tcW w:w="230" w:type="pct"/>
            <w:shd w:val="clear" w:color="auto" w:fill="auto"/>
            <w:vAlign w:val="center"/>
          </w:tcPr>
          <w:p w14:paraId="0C52CCD2">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2</w:t>
            </w:r>
          </w:p>
        </w:tc>
        <w:tc>
          <w:tcPr>
            <w:tcW w:w="780" w:type="pct"/>
            <w:shd w:val="clear" w:color="auto" w:fill="auto"/>
            <w:vAlign w:val="center"/>
          </w:tcPr>
          <w:p w14:paraId="0409008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考察配方施肥、统防统治、农机作业等三项环节服务情况，反映履职目标的实现程度</w:t>
            </w:r>
          </w:p>
        </w:tc>
        <w:tc>
          <w:tcPr>
            <w:tcW w:w="1181" w:type="pct"/>
            <w:shd w:val="clear" w:color="auto" w:fill="auto"/>
            <w:vAlign w:val="center"/>
          </w:tcPr>
          <w:p w14:paraId="5DBFA50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评分规则：配方施肥、统防统治、农机作业等三项环节服务≥120万亩次，得满分。</w:t>
            </w:r>
          </w:p>
        </w:tc>
        <w:tc>
          <w:tcPr>
            <w:tcW w:w="942" w:type="pct"/>
            <w:shd w:val="clear" w:color="auto" w:fill="auto"/>
            <w:vAlign w:val="center"/>
          </w:tcPr>
          <w:p w14:paraId="1575C847">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根据“南京市供销合作社第六届理事会第八次全体会议工作报告”，2024年配方施肥、统防统治、农机作业等三项环节服务150万亩次，达成。</w:t>
            </w:r>
          </w:p>
        </w:tc>
        <w:tc>
          <w:tcPr>
            <w:tcW w:w="259" w:type="pct"/>
            <w:shd w:val="clear" w:color="auto" w:fill="auto"/>
            <w:vAlign w:val="center"/>
          </w:tcPr>
          <w:p w14:paraId="7ED06468">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04A5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76" w:type="pct"/>
            <w:vMerge w:val="restart"/>
            <w:shd w:val="clear" w:color="auto" w:fill="auto"/>
            <w:vAlign w:val="center"/>
          </w:tcPr>
          <w:p w14:paraId="41326101">
            <w:pPr>
              <w:widowControl/>
              <w:adjustRightInd w:val="0"/>
              <w:snapToGrid w:val="0"/>
              <w:spacing w:line="260" w:lineRule="exact"/>
              <w:ind w:firstLine="0" w:firstLineChars="0"/>
              <w:jc w:val="center"/>
              <w:textAlignment w:val="center"/>
              <w:rPr>
                <w:rFonts w:hint="eastAsia" w:cs="宋体"/>
                <w:sz w:val="21"/>
                <w:szCs w:val="16"/>
              </w:rPr>
            </w:pPr>
          </w:p>
        </w:tc>
        <w:tc>
          <w:tcPr>
            <w:tcW w:w="551" w:type="pct"/>
            <w:vMerge w:val="restart"/>
            <w:shd w:val="clear" w:color="auto" w:fill="auto"/>
            <w:vAlign w:val="center"/>
          </w:tcPr>
          <w:p w14:paraId="039909EF">
            <w:pPr>
              <w:widowControl/>
              <w:tabs>
                <w:tab w:val="left" w:pos="508"/>
              </w:tabs>
              <w:adjustRightInd w:val="0"/>
              <w:snapToGrid w:val="0"/>
              <w:spacing w:line="260" w:lineRule="exact"/>
              <w:ind w:firstLine="0" w:firstLineChars="0"/>
              <w:jc w:val="left"/>
              <w:textAlignment w:val="center"/>
              <w:rPr>
                <w:rFonts w:hint="default" w:eastAsia="仿宋" w:cs="宋体"/>
                <w:color w:val="auto"/>
                <w:sz w:val="21"/>
                <w:szCs w:val="16"/>
                <w:lang w:val="en-US" w:eastAsia="zh-CN"/>
              </w:rPr>
            </w:pPr>
            <w:r>
              <w:rPr>
                <w:rFonts w:hint="eastAsia" w:cs="宋体"/>
                <w:color w:val="auto"/>
                <w:kern w:val="2"/>
                <w:sz w:val="21"/>
                <w:szCs w:val="16"/>
                <w:highlight w:val="none"/>
              </w:rPr>
              <w:t>C1</w:t>
            </w:r>
            <w:r>
              <w:rPr>
                <w:rFonts w:hint="eastAsia" w:cs="宋体"/>
                <w:color w:val="auto"/>
                <w:kern w:val="2"/>
                <w:sz w:val="21"/>
                <w:szCs w:val="16"/>
                <w:highlight w:val="none"/>
                <w:lang w:val="en-US" w:eastAsia="zh-CN"/>
              </w:rPr>
              <w:t>1</w:t>
            </w:r>
            <w:r>
              <w:rPr>
                <w:rFonts w:hint="eastAsia" w:cs="宋体"/>
                <w:color w:val="auto"/>
                <w:sz w:val="21"/>
                <w:szCs w:val="16"/>
                <w:lang w:val="en-US" w:eastAsia="zh-CN"/>
              </w:rPr>
              <w:t>人才队伍建设（2）</w:t>
            </w:r>
          </w:p>
        </w:tc>
        <w:tc>
          <w:tcPr>
            <w:tcW w:w="400" w:type="pct"/>
            <w:shd w:val="clear" w:color="auto" w:fill="auto"/>
            <w:vAlign w:val="center"/>
          </w:tcPr>
          <w:p w14:paraId="2F7F4EA0">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C</w:t>
            </w:r>
            <w:r>
              <w:rPr>
                <w:rFonts w:hint="eastAsia" w:cs="宋体"/>
                <w:color w:val="auto"/>
                <w:sz w:val="21"/>
                <w:szCs w:val="16"/>
                <w:highlight w:val="none"/>
                <w:lang w:val="en-US" w:eastAsia="zh-CN"/>
              </w:rPr>
              <w:t>111</w:t>
            </w:r>
            <w:r>
              <w:rPr>
                <w:rFonts w:hint="eastAsia" w:cs="宋体"/>
                <w:color w:val="auto"/>
                <w:sz w:val="21"/>
                <w:szCs w:val="16"/>
                <w:highlight w:val="none"/>
              </w:rPr>
              <w:t>农村电商人才培训</w:t>
            </w:r>
          </w:p>
        </w:tc>
        <w:tc>
          <w:tcPr>
            <w:tcW w:w="379" w:type="pct"/>
            <w:shd w:val="clear" w:color="auto" w:fill="auto"/>
            <w:vAlign w:val="center"/>
          </w:tcPr>
          <w:p w14:paraId="747FD739">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cs="宋体"/>
                <w:color w:val="auto"/>
                <w:sz w:val="21"/>
                <w:szCs w:val="16"/>
                <w:highlight w:val="none"/>
              </w:rPr>
              <w:t>≥</w:t>
            </w:r>
            <w:r>
              <w:rPr>
                <w:rFonts w:hint="eastAsia" w:cs="宋体"/>
                <w:color w:val="auto"/>
                <w:sz w:val="21"/>
                <w:szCs w:val="16"/>
                <w:highlight w:val="none"/>
              </w:rPr>
              <w:t>1000人次</w:t>
            </w:r>
          </w:p>
        </w:tc>
        <w:tc>
          <w:tcPr>
            <w:tcW w:w="230" w:type="pct"/>
            <w:shd w:val="clear" w:color="auto" w:fill="auto"/>
            <w:vAlign w:val="center"/>
          </w:tcPr>
          <w:p w14:paraId="0B0AFA24">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1</w:t>
            </w:r>
          </w:p>
        </w:tc>
        <w:tc>
          <w:tcPr>
            <w:tcW w:w="780" w:type="pct"/>
            <w:shd w:val="clear" w:color="auto" w:fill="auto"/>
            <w:vAlign w:val="center"/>
          </w:tcPr>
          <w:p w14:paraId="64A6C66F">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考察农村电商人才培训人次情况，反映履职目标的实现程度。</w:t>
            </w:r>
          </w:p>
        </w:tc>
        <w:tc>
          <w:tcPr>
            <w:tcW w:w="1181" w:type="pct"/>
            <w:shd w:val="clear" w:color="auto" w:fill="auto"/>
            <w:vAlign w:val="center"/>
          </w:tcPr>
          <w:p w14:paraId="1DDBE00F">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评分规则：实际完成值达到标准值得满分，未达到标准值的每减少1%扣2%权重分。</w:t>
            </w:r>
          </w:p>
        </w:tc>
        <w:tc>
          <w:tcPr>
            <w:tcW w:w="942" w:type="pct"/>
            <w:shd w:val="clear" w:color="auto" w:fill="auto"/>
            <w:vAlign w:val="center"/>
          </w:tcPr>
          <w:p w14:paraId="6075F9E1">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根据2024年市农村供销合作服务体系建设专项资金奖补项目公示，实际农村电商人才培训856余人次，比目标值减少14.40%,扣0.28分。</w:t>
            </w:r>
          </w:p>
        </w:tc>
        <w:tc>
          <w:tcPr>
            <w:tcW w:w="259" w:type="pct"/>
            <w:shd w:val="clear" w:color="auto" w:fill="auto"/>
            <w:vAlign w:val="center"/>
          </w:tcPr>
          <w:p w14:paraId="14191413">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0.72</w:t>
            </w:r>
          </w:p>
        </w:tc>
      </w:tr>
      <w:tr w14:paraId="28E9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76" w:type="pct"/>
            <w:vMerge w:val="continue"/>
            <w:shd w:val="clear" w:color="auto" w:fill="auto"/>
            <w:vAlign w:val="center"/>
          </w:tcPr>
          <w:p w14:paraId="7C71AD6C">
            <w:pPr>
              <w:widowControl/>
              <w:adjustRightInd w:val="0"/>
              <w:snapToGrid w:val="0"/>
              <w:spacing w:line="260" w:lineRule="exact"/>
              <w:ind w:firstLine="0" w:firstLineChars="0"/>
              <w:jc w:val="center"/>
              <w:textAlignment w:val="center"/>
              <w:rPr>
                <w:rFonts w:hint="eastAsia" w:cs="宋体"/>
                <w:sz w:val="21"/>
                <w:szCs w:val="16"/>
              </w:rPr>
            </w:pPr>
          </w:p>
        </w:tc>
        <w:tc>
          <w:tcPr>
            <w:tcW w:w="551" w:type="pct"/>
            <w:vMerge w:val="continue"/>
            <w:shd w:val="clear" w:color="auto" w:fill="auto"/>
            <w:vAlign w:val="center"/>
          </w:tcPr>
          <w:p w14:paraId="49E9640D">
            <w:pPr>
              <w:widowControl/>
              <w:adjustRightInd w:val="0"/>
              <w:snapToGrid w:val="0"/>
              <w:spacing w:line="260" w:lineRule="exact"/>
              <w:ind w:firstLine="0" w:firstLineChars="0"/>
              <w:jc w:val="center"/>
              <w:textAlignment w:val="center"/>
              <w:rPr>
                <w:rFonts w:hint="eastAsia" w:cs="宋体"/>
                <w:color w:val="auto"/>
                <w:sz w:val="21"/>
                <w:szCs w:val="16"/>
              </w:rPr>
            </w:pPr>
          </w:p>
        </w:tc>
        <w:tc>
          <w:tcPr>
            <w:tcW w:w="400" w:type="pct"/>
            <w:shd w:val="clear" w:color="auto" w:fill="auto"/>
            <w:vAlign w:val="center"/>
          </w:tcPr>
          <w:p w14:paraId="799C11B3">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C</w:t>
            </w:r>
            <w:r>
              <w:rPr>
                <w:rFonts w:hint="eastAsia" w:cs="宋体"/>
                <w:color w:val="auto"/>
                <w:sz w:val="21"/>
                <w:szCs w:val="16"/>
                <w:highlight w:val="none"/>
                <w:lang w:val="en-US" w:eastAsia="zh-CN"/>
              </w:rPr>
              <w:t>112</w:t>
            </w:r>
            <w:r>
              <w:rPr>
                <w:rFonts w:hint="eastAsia" w:cs="宋体"/>
                <w:color w:val="auto"/>
                <w:sz w:val="21"/>
                <w:szCs w:val="16"/>
                <w:highlight w:val="none"/>
              </w:rPr>
              <w:t>农民种植技能培训</w:t>
            </w:r>
          </w:p>
        </w:tc>
        <w:tc>
          <w:tcPr>
            <w:tcW w:w="379" w:type="pct"/>
            <w:shd w:val="clear" w:color="auto" w:fill="auto"/>
            <w:vAlign w:val="center"/>
          </w:tcPr>
          <w:p w14:paraId="64DD9D73">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≥1000人次</w:t>
            </w:r>
          </w:p>
        </w:tc>
        <w:tc>
          <w:tcPr>
            <w:tcW w:w="230" w:type="pct"/>
            <w:shd w:val="clear" w:color="auto" w:fill="auto"/>
            <w:vAlign w:val="center"/>
          </w:tcPr>
          <w:p w14:paraId="79F73BC6">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lang w:val="en-US" w:eastAsia="zh-CN"/>
              </w:rPr>
              <w:t>1</w:t>
            </w:r>
          </w:p>
        </w:tc>
        <w:tc>
          <w:tcPr>
            <w:tcW w:w="780" w:type="pct"/>
            <w:shd w:val="clear" w:color="auto" w:fill="auto"/>
            <w:vAlign w:val="center"/>
          </w:tcPr>
          <w:p w14:paraId="72E5443D">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考察农民种植技能培训人次情况，反映履职目标的实现程度。</w:t>
            </w:r>
          </w:p>
        </w:tc>
        <w:tc>
          <w:tcPr>
            <w:tcW w:w="1181" w:type="pct"/>
            <w:shd w:val="clear" w:color="auto" w:fill="auto"/>
            <w:vAlign w:val="center"/>
          </w:tcPr>
          <w:p w14:paraId="0DE91DC6">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评分规则：实际完成值达到标准值得满分，未达到标准值的每减少1%扣2%权重分。</w:t>
            </w:r>
          </w:p>
        </w:tc>
        <w:tc>
          <w:tcPr>
            <w:tcW w:w="942" w:type="pct"/>
            <w:shd w:val="clear" w:color="auto" w:fill="auto"/>
            <w:vAlign w:val="center"/>
          </w:tcPr>
          <w:p w14:paraId="73995B1E">
            <w:pPr>
              <w:widowControl/>
              <w:adjustRightInd w:val="0"/>
              <w:snapToGrid w:val="0"/>
              <w:spacing w:line="260" w:lineRule="exact"/>
              <w:ind w:firstLine="0" w:firstLineChars="0"/>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rPr>
              <w:t>根据2024年市农村供销合作服务体系建设专项资金奖补项目公示，实际农村电商人才培训</w:t>
            </w:r>
            <w:r>
              <w:rPr>
                <w:rFonts w:hint="eastAsia" w:cs="宋体"/>
                <w:color w:val="auto"/>
                <w:sz w:val="21"/>
                <w:szCs w:val="16"/>
                <w:highlight w:val="none"/>
                <w:lang w:val="en-US" w:eastAsia="zh-CN"/>
              </w:rPr>
              <w:t>712</w:t>
            </w:r>
            <w:r>
              <w:rPr>
                <w:rFonts w:hint="eastAsia" w:cs="宋体"/>
                <w:color w:val="auto"/>
                <w:sz w:val="21"/>
                <w:szCs w:val="16"/>
                <w:highlight w:val="none"/>
              </w:rPr>
              <w:t>余人次，比目标值减少</w:t>
            </w:r>
            <w:r>
              <w:rPr>
                <w:rFonts w:hint="eastAsia" w:cs="宋体"/>
                <w:color w:val="auto"/>
                <w:sz w:val="21"/>
                <w:szCs w:val="16"/>
                <w:highlight w:val="none"/>
                <w:lang w:val="en-US" w:eastAsia="zh-CN"/>
              </w:rPr>
              <w:t>28.8</w:t>
            </w:r>
            <w:r>
              <w:rPr>
                <w:rFonts w:hint="eastAsia" w:cs="宋体"/>
                <w:color w:val="auto"/>
                <w:sz w:val="21"/>
                <w:szCs w:val="16"/>
                <w:highlight w:val="none"/>
              </w:rPr>
              <w:t>%,扣</w:t>
            </w:r>
            <w:r>
              <w:rPr>
                <w:rFonts w:hint="eastAsia" w:cs="宋体"/>
                <w:color w:val="auto"/>
                <w:sz w:val="21"/>
                <w:szCs w:val="16"/>
                <w:highlight w:val="none"/>
                <w:lang w:val="en-US" w:eastAsia="zh-CN"/>
              </w:rPr>
              <w:t>0.576</w:t>
            </w:r>
            <w:r>
              <w:rPr>
                <w:rFonts w:hint="eastAsia" w:cs="宋体"/>
                <w:color w:val="auto"/>
                <w:sz w:val="21"/>
                <w:szCs w:val="16"/>
                <w:highlight w:val="none"/>
              </w:rPr>
              <w:t>分。</w:t>
            </w:r>
          </w:p>
        </w:tc>
        <w:tc>
          <w:tcPr>
            <w:tcW w:w="259" w:type="pct"/>
            <w:shd w:val="clear" w:color="auto" w:fill="auto"/>
            <w:vAlign w:val="center"/>
          </w:tcPr>
          <w:p w14:paraId="7A924C4E">
            <w:pPr>
              <w:widowControl/>
              <w:adjustRightInd w:val="0"/>
              <w:snapToGrid w:val="0"/>
              <w:spacing w:line="260" w:lineRule="exact"/>
              <w:ind w:firstLine="0" w:firstLineChars="0"/>
              <w:jc w:val="center"/>
              <w:textAlignment w:val="center"/>
              <w:rPr>
                <w:rFonts w:hint="eastAsia" w:ascii="Times New Roman" w:hAnsi="Times New Roman" w:eastAsia="仿宋" w:cs="宋体"/>
                <w:color w:val="auto"/>
                <w:sz w:val="21"/>
                <w:szCs w:val="16"/>
                <w:highlight w:val="none"/>
                <w:lang w:val="en-US" w:eastAsia="zh-CN" w:bidi="ar-SA"/>
              </w:rPr>
            </w:pPr>
            <w:r>
              <w:rPr>
                <w:rFonts w:hint="eastAsia" w:cs="宋体"/>
                <w:color w:val="auto"/>
                <w:sz w:val="21"/>
                <w:szCs w:val="16"/>
                <w:highlight w:val="none"/>
                <w:lang w:val="en-US" w:eastAsia="zh-CN"/>
              </w:rPr>
              <w:t>0.424</w:t>
            </w:r>
          </w:p>
        </w:tc>
      </w:tr>
      <w:tr w14:paraId="216A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76" w:type="pct"/>
            <w:vMerge w:val="restart"/>
            <w:shd w:val="clear" w:color="auto" w:fill="auto"/>
            <w:vAlign w:val="center"/>
          </w:tcPr>
          <w:p w14:paraId="04B38B11">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D效益</w:t>
            </w:r>
            <w:r>
              <w:rPr>
                <w:rFonts w:hint="eastAsia" w:cs="宋体"/>
                <w:sz w:val="21"/>
                <w:szCs w:val="16"/>
                <w:lang w:val="en-US" w:eastAsia="zh-CN"/>
              </w:rPr>
              <w:t>指标</w:t>
            </w:r>
            <w:r>
              <w:rPr>
                <w:rFonts w:hint="eastAsia" w:cs="宋体"/>
                <w:sz w:val="21"/>
                <w:szCs w:val="16"/>
              </w:rPr>
              <w:t>（</w:t>
            </w:r>
            <w:r>
              <w:rPr>
                <w:rFonts w:hint="eastAsia" w:cs="宋体"/>
                <w:sz w:val="21"/>
                <w:szCs w:val="16"/>
                <w:lang w:val="en-US" w:eastAsia="zh-CN"/>
              </w:rPr>
              <w:t>19</w:t>
            </w:r>
            <w:r>
              <w:rPr>
                <w:rFonts w:hint="eastAsia" w:cs="宋体"/>
                <w:sz w:val="21"/>
                <w:szCs w:val="16"/>
              </w:rPr>
              <w:t>）</w:t>
            </w:r>
          </w:p>
        </w:tc>
        <w:tc>
          <w:tcPr>
            <w:tcW w:w="551" w:type="pct"/>
            <w:vMerge w:val="restart"/>
            <w:shd w:val="clear" w:color="auto" w:fill="auto"/>
            <w:vAlign w:val="center"/>
          </w:tcPr>
          <w:p w14:paraId="33AB4E1B">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D1经济效益（3）</w:t>
            </w:r>
          </w:p>
        </w:tc>
        <w:tc>
          <w:tcPr>
            <w:tcW w:w="400" w:type="pct"/>
            <w:shd w:val="clear" w:color="auto" w:fill="auto"/>
            <w:vAlign w:val="center"/>
          </w:tcPr>
          <w:p w14:paraId="23C59BB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D11农产品销售额</w:t>
            </w:r>
          </w:p>
        </w:tc>
        <w:tc>
          <w:tcPr>
            <w:tcW w:w="379" w:type="pct"/>
            <w:shd w:val="clear" w:color="auto" w:fill="auto"/>
            <w:vAlign w:val="center"/>
          </w:tcPr>
          <w:p w14:paraId="417072FB">
            <w:pPr>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≥270亿元</w:t>
            </w:r>
          </w:p>
        </w:tc>
        <w:tc>
          <w:tcPr>
            <w:tcW w:w="230" w:type="pct"/>
            <w:shd w:val="clear" w:color="auto" w:fill="auto"/>
            <w:vAlign w:val="center"/>
          </w:tcPr>
          <w:p w14:paraId="6BF0793D">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w:t>
            </w:r>
          </w:p>
        </w:tc>
        <w:tc>
          <w:tcPr>
            <w:tcW w:w="780" w:type="pct"/>
            <w:shd w:val="clear" w:color="auto" w:fill="auto"/>
            <w:vAlign w:val="center"/>
          </w:tcPr>
          <w:p w14:paraId="233B627E">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考察农产品销售情况，反映经济效益的实现程度。</w:t>
            </w:r>
          </w:p>
        </w:tc>
        <w:tc>
          <w:tcPr>
            <w:tcW w:w="1181" w:type="pct"/>
            <w:shd w:val="clear" w:color="auto" w:fill="auto"/>
            <w:vAlign w:val="center"/>
          </w:tcPr>
          <w:p w14:paraId="60BFBF6A">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评分规则：实际完成值达到标准值得满分，否则不得分。</w:t>
            </w:r>
          </w:p>
        </w:tc>
        <w:tc>
          <w:tcPr>
            <w:tcW w:w="942" w:type="pct"/>
            <w:shd w:val="clear" w:color="auto" w:fill="auto"/>
            <w:vAlign w:val="center"/>
          </w:tcPr>
          <w:p w14:paraId="1CA20F7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根据“供销直报系统”数据，农产品销售额321亿元，达成。</w:t>
            </w:r>
          </w:p>
        </w:tc>
        <w:tc>
          <w:tcPr>
            <w:tcW w:w="259" w:type="pct"/>
            <w:shd w:val="clear" w:color="auto" w:fill="auto"/>
            <w:vAlign w:val="center"/>
          </w:tcPr>
          <w:p w14:paraId="27966088">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5157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3FC766E5">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18657B8A">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6F4656A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D12电商销售额</w:t>
            </w:r>
          </w:p>
        </w:tc>
        <w:tc>
          <w:tcPr>
            <w:tcW w:w="379" w:type="pct"/>
            <w:shd w:val="clear" w:color="auto" w:fill="auto"/>
            <w:vAlign w:val="center"/>
          </w:tcPr>
          <w:p w14:paraId="25FED35D">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≥56亿元</w:t>
            </w:r>
          </w:p>
        </w:tc>
        <w:tc>
          <w:tcPr>
            <w:tcW w:w="230" w:type="pct"/>
            <w:shd w:val="clear" w:color="auto" w:fill="auto"/>
            <w:vAlign w:val="center"/>
          </w:tcPr>
          <w:p w14:paraId="6D301707">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1</w:t>
            </w:r>
          </w:p>
        </w:tc>
        <w:tc>
          <w:tcPr>
            <w:tcW w:w="780" w:type="pct"/>
            <w:shd w:val="clear" w:color="auto" w:fill="auto"/>
            <w:vAlign w:val="center"/>
          </w:tcPr>
          <w:p w14:paraId="074FD95D">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考察电商销售情况，反映经济效益的实现程度。</w:t>
            </w:r>
          </w:p>
        </w:tc>
        <w:tc>
          <w:tcPr>
            <w:tcW w:w="1181" w:type="pct"/>
            <w:shd w:val="clear" w:color="auto" w:fill="auto"/>
            <w:vAlign w:val="center"/>
          </w:tcPr>
          <w:p w14:paraId="34F7E6C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评分规则：实际完成值达到标准值得满分，否则不得分。未达到标准值的每减少1%扣2%权重分。</w:t>
            </w:r>
          </w:p>
        </w:tc>
        <w:tc>
          <w:tcPr>
            <w:tcW w:w="942" w:type="pct"/>
            <w:shd w:val="clear" w:color="auto" w:fill="auto"/>
            <w:vAlign w:val="center"/>
          </w:tcPr>
          <w:p w14:paraId="74D14F69">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根据“供销直报系统”数据，电商销售额66亿元，达成。</w:t>
            </w:r>
          </w:p>
        </w:tc>
        <w:tc>
          <w:tcPr>
            <w:tcW w:w="259" w:type="pct"/>
            <w:shd w:val="clear" w:color="auto" w:fill="auto"/>
            <w:vAlign w:val="center"/>
          </w:tcPr>
          <w:p w14:paraId="005F7AF4">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6AE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6" w:type="pct"/>
            <w:vMerge w:val="continue"/>
            <w:shd w:val="clear" w:color="auto" w:fill="auto"/>
            <w:vAlign w:val="center"/>
          </w:tcPr>
          <w:p w14:paraId="0E08C653">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3C1E7271">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448A90F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D13农资销售额</w:t>
            </w:r>
          </w:p>
        </w:tc>
        <w:tc>
          <w:tcPr>
            <w:tcW w:w="379" w:type="pct"/>
            <w:shd w:val="clear" w:color="auto" w:fill="auto"/>
            <w:vAlign w:val="center"/>
          </w:tcPr>
          <w:p w14:paraId="027AA6F4">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≥5亿元</w:t>
            </w:r>
          </w:p>
        </w:tc>
        <w:tc>
          <w:tcPr>
            <w:tcW w:w="230" w:type="pct"/>
            <w:shd w:val="clear" w:color="auto" w:fill="auto"/>
            <w:vAlign w:val="center"/>
          </w:tcPr>
          <w:p w14:paraId="3480357F">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w:t>
            </w:r>
          </w:p>
        </w:tc>
        <w:tc>
          <w:tcPr>
            <w:tcW w:w="780" w:type="pct"/>
            <w:shd w:val="clear" w:color="auto" w:fill="auto"/>
            <w:vAlign w:val="center"/>
          </w:tcPr>
          <w:p w14:paraId="72F1EB72">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考察农资销售情况，反映经济效益的实现程度。</w:t>
            </w:r>
          </w:p>
        </w:tc>
        <w:tc>
          <w:tcPr>
            <w:tcW w:w="1181" w:type="pct"/>
            <w:shd w:val="clear" w:color="auto" w:fill="auto"/>
            <w:vAlign w:val="center"/>
          </w:tcPr>
          <w:p w14:paraId="660C990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评分规则：实际完成值达到标准值得满分，否则不得分。</w:t>
            </w:r>
          </w:p>
        </w:tc>
        <w:tc>
          <w:tcPr>
            <w:tcW w:w="942" w:type="pct"/>
            <w:shd w:val="clear" w:color="auto" w:fill="auto"/>
            <w:vAlign w:val="center"/>
          </w:tcPr>
          <w:p w14:paraId="454D4C1F">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根据“南京市供销合作社第六届理事会第八次全体会议工作报告”农资销售额9.2亿元，达成。</w:t>
            </w:r>
          </w:p>
        </w:tc>
        <w:tc>
          <w:tcPr>
            <w:tcW w:w="259" w:type="pct"/>
            <w:shd w:val="clear" w:color="auto" w:fill="auto"/>
            <w:vAlign w:val="center"/>
          </w:tcPr>
          <w:p w14:paraId="0887BE02">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1.00</w:t>
            </w:r>
          </w:p>
        </w:tc>
      </w:tr>
      <w:tr w14:paraId="705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continue"/>
            <w:shd w:val="clear" w:color="auto" w:fill="auto"/>
            <w:vAlign w:val="center"/>
          </w:tcPr>
          <w:p w14:paraId="740BE627">
            <w:pPr>
              <w:widowControl/>
              <w:adjustRightInd w:val="0"/>
              <w:snapToGrid w:val="0"/>
              <w:spacing w:line="260" w:lineRule="exact"/>
              <w:ind w:firstLine="0" w:firstLineChars="0"/>
              <w:jc w:val="center"/>
              <w:rPr>
                <w:rFonts w:cs="宋体"/>
                <w:kern w:val="2"/>
                <w:sz w:val="21"/>
                <w:szCs w:val="16"/>
              </w:rPr>
            </w:pPr>
          </w:p>
        </w:tc>
        <w:tc>
          <w:tcPr>
            <w:tcW w:w="551" w:type="pct"/>
            <w:shd w:val="clear" w:color="auto" w:fill="auto"/>
            <w:vAlign w:val="center"/>
          </w:tcPr>
          <w:p w14:paraId="3C84EA69">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D2生态效益（</w:t>
            </w:r>
            <w:r>
              <w:rPr>
                <w:rFonts w:hint="eastAsia" w:cs="宋体"/>
                <w:color w:val="auto"/>
                <w:sz w:val="21"/>
                <w:szCs w:val="16"/>
                <w:lang w:val="en-US" w:eastAsia="zh-CN"/>
              </w:rPr>
              <w:t>2</w:t>
            </w:r>
            <w:r>
              <w:rPr>
                <w:rFonts w:hint="eastAsia" w:cs="宋体"/>
                <w:color w:val="auto"/>
                <w:sz w:val="21"/>
                <w:szCs w:val="16"/>
              </w:rPr>
              <w:t>）</w:t>
            </w:r>
          </w:p>
        </w:tc>
        <w:tc>
          <w:tcPr>
            <w:tcW w:w="400" w:type="pct"/>
            <w:shd w:val="clear" w:color="auto" w:fill="auto"/>
            <w:vAlign w:val="center"/>
          </w:tcPr>
          <w:p w14:paraId="0298350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D21参与农村绿色生态服务效果</w:t>
            </w:r>
          </w:p>
        </w:tc>
        <w:tc>
          <w:tcPr>
            <w:tcW w:w="379" w:type="pct"/>
            <w:shd w:val="clear" w:color="auto" w:fill="auto"/>
            <w:vAlign w:val="center"/>
          </w:tcPr>
          <w:p w14:paraId="7BA2AE02">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kern w:val="2"/>
                <w:sz w:val="21"/>
                <w:szCs w:val="16"/>
              </w:rPr>
              <w:t>明显</w:t>
            </w:r>
          </w:p>
        </w:tc>
        <w:tc>
          <w:tcPr>
            <w:tcW w:w="230" w:type="pct"/>
            <w:shd w:val="clear" w:color="auto" w:fill="auto"/>
            <w:vAlign w:val="center"/>
          </w:tcPr>
          <w:p w14:paraId="0A4EA2F2">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2</w:t>
            </w:r>
          </w:p>
        </w:tc>
        <w:tc>
          <w:tcPr>
            <w:tcW w:w="780" w:type="pct"/>
            <w:shd w:val="clear" w:color="auto" w:fill="auto"/>
            <w:vAlign w:val="center"/>
          </w:tcPr>
          <w:p w14:paraId="4BDD7DC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考察参与农村绿色生态服务工作情况，反映生态效益的实现程度。</w:t>
            </w:r>
          </w:p>
        </w:tc>
        <w:tc>
          <w:tcPr>
            <w:tcW w:w="1181" w:type="pct"/>
            <w:shd w:val="clear" w:color="auto" w:fill="auto"/>
            <w:vAlign w:val="center"/>
          </w:tcPr>
          <w:p w14:paraId="12418AE0">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积极参与实施农业社会化服务惠农工程，农药集中采购统一配供或包装废弃物回收处理工作服务农村绿色生态成效明显，得分，否则不得分。</w:t>
            </w:r>
          </w:p>
        </w:tc>
        <w:tc>
          <w:tcPr>
            <w:tcW w:w="942" w:type="pct"/>
            <w:shd w:val="clear" w:color="auto" w:fill="auto"/>
            <w:vAlign w:val="center"/>
          </w:tcPr>
          <w:p w14:paraId="3FCA73CB">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涉农街镇农药零差率配供网点总数达到161个，覆盖97%涉农街镇，全年先后针对主要粮食种植用药230余种，配供零差率农药5400余万元，其中农药中高效、低毒农药占比在98%以上，大力支持了省乡村振兴建设，达成。</w:t>
            </w:r>
          </w:p>
        </w:tc>
        <w:tc>
          <w:tcPr>
            <w:tcW w:w="259" w:type="pct"/>
            <w:shd w:val="clear" w:color="auto" w:fill="auto"/>
            <w:vAlign w:val="center"/>
          </w:tcPr>
          <w:p w14:paraId="48AD30AD">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78E4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276" w:type="pct"/>
            <w:vMerge w:val="continue"/>
            <w:shd w:val="clear" w:color="auto" w:fill="auto"/>
            <w:vAlign w:val="center"/>
          </w:tcPr>
          <w:p w14:paraId="26D697B9">
            <w:pPr>
              <w:widowControl/>
              <w:adjustRightInd w:val="0"/>
              <w:snapToGrid w:val="0"/>
              <w:spacing w:line="260" w:lineRule="exact"/>
              <w:ind w:firstLine="0" w:firstLineChars="0"/>
              <w:jc w:val="center"/>
              <w:rPr>
                <w:rFonts w:cs="宋体"/>
                <w:kern w:val="2"/>
                <w:sz w:val="21"/>
                <w:szCs w:val="16"/>
              </w:rPr>
            </w:pPr>
          </w:p>
        </w:tc>
        <w:tc>
          <w:tcPr>
            <w:tcW w:w="551" w:type="pct"/>
            <w:vMerge w:val="restart"/>
            <w:shd w:val="clear" w:color="auto" w:fill="auto"/>
            <w:vAlign w:val="center"/>
          </w:tcPr>
          <w:p w14:paraId="75766B8D">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D3社会效益（</w:t>
            </w:r>
            <w:r>
              <w:rPr>
                <w:rFonts w:hint="eastAsia" w:cs="宋体"/>
                <w:color w:val="auto"/>
                <w:sz w:val="21"/>
                <w:szCs w:val="16"/>
                <w:lang w:val="en-US" w:eastAsia="zh-CN"/>
              </w:rPr>
              <w:t>9</w:t>
            </w:r>
            <w:r>
              <w:rPr>
                <w:rFonts w:hint="eastAsia" w:cs="宋体"/>
                <w:color w:val="auto"/>
                <w:sz w:val="21"/>
                <w:szCs w:val="16"/>
              </w:rPr>
              <w:t>）</w:t>
            </w:r>
          </w:p>
        </w:tc>
        <w:tc>
          <w:tcPr>
            <w:tcW w:w="400" w:type="pct"/>
            <w:shd w:val="clear" w:color="auto" w:fill="auto"/>
            <w:vAlign w:val="center"/>
          </w:tcPr>
          <w:p w14:paraId="3A8B5889">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D31助农增收效果</w:t>
            </w:r>
          </w:p>
        </w:tc>
        <w:tc>
          <w:tcPr>
            <w:tcW w:w="379" w:type="pct"/>
            <w:shd w:val="clear" w:color="auto" w:fill="auto"/>
            <w:vAlign w:val="center"/>
          </w:tcPr>
          <w:p w14:paraId="6FB84E82">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kern w:val="2"/>
                <w:sz w:val="21"/>
                <w:szCs w:val="16"/>
              </w:rPr>
              <w:t>明显</w:t>
            </w:r>
          </w:p>
        </w:tc>
        <w:tc>
          <w:tcPr>
            <w:tcW w:w="230" w:type="pct"/>
            <w:shd w:val="clear" w:color="auto" w:fill="auto"/>
            <w:vAlign w:val="center"/>
          </w:tcPr>
          <w:p w14:paraId="4A81585E">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5</w:t>
            </w:r>
          </w:p>
        </w:tc>
        <w:tc>
          <w:tcPr>
            <w:tcW w:w="780" w:type="pct"/>
            <w:shd w:val="clear" w:color="auto" w:fill="auto"/>
            <w:vAlign w:val="center"/>
          </w:tcPr>
          <w:p w14:paraId="348B7A0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考察是否助农增收，反映社会效益的实现程度。</w:t>
            </w:r>
          </w:p>
        </w:tc>
        <w:tc>
          <w:tcPr>
            <w:tcW w:w="1181" w:type="pct"/>
            <w:shd w:val="clear" w:color="auto" w:fill="auto"/>
            <w:vAlign w:val="center"/>
          </w:tcPr>
          <w:p w14:paraId="3921F44D">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评价要点：</w:t>
            </w:r>
          </w:p>
          <w:p w14:paraId="70361F91">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1.企业营收增长；</w:t>
            </w:r>
          </w:p>
          <w:p w14:paraId="74F3CE28">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2.社农、农民合作社、专业合作社、社有企业等全年销售增长；</w:t>
            </w:r>
          </w:p>
          <w:p w14:paraId="02E4BD43">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 xml:space="preserve"> 3.农产品销售增长；</w:t>
            </w:r>
          </w:p>
          <w:p w14:paraId="033C7DFB">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4.农产品电子商务销售增长；</w:t>
            </w:r>
          </w:p>
          <w:p w14:paraId="4866C3FA">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5.农资销售增长</w:t>
            </w:r>
          </w:p>
          <w:p w14:paraId="31D4836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评分规则：要点1、2、3、4、5各占1/5权重，达成得满分，否则不得分。</w:t>
            </w:r>
          </w:p>
        </w:tc>
        <w:tc>
          <w:tcPr>
            <w:tcW w:w="942" w:type="pct"/>
            <w:shd w:val="clear" w:color="auto" w:fill="auto"/>
            <w:vAlign w:val="center"/>
          </w:tcPr>
          <w:p w14:paraId="04D44068">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依据南京市供销合作总社提供的相关资料助农增收效果明显：</w:t>
            </w:r>
          </w:p>
          <w:p w14:paraId="1D4C7D3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1.企业营收增长；</w:t>
            </w:r>
          </w:p>
          <w:p w14:paraId="48F482E0">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2.社农、农民合作社、专业合作社、社有企业等全年销售增长；</w:t>
            </w:r>
          </w:p>
          <w:p w14:paraId="687567C0">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3.农产品销售增长4.09%；</w:t>
            </w:r>
          </w:p>
          <w:p w14:paraId="72D56BC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4.农产品电子商务销售增长2.12%；</w:t>
            </w:r>
          </w:p>
          <w:p w14:paraId="0E2541F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5.农资销售增长47.09%。达成。</w:t>
            </w:r>
          </w:p>
        </w:tc>
        <w:tc>
          <w:tcPr>
            <w:tcW w:w="259" w:type="pct"/>
            <w:shd w:val="clear" w:color="auto" w:fill="auto"/>
            <w:vAlign w:val="center"/>
          </w:tcPr>
          <w:p w14:paraId="1AE42199">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5.00</w:t>
            </w:r>
          </w:p>
        </w:tc>
      </w:tr>
      <w:tr w14:paraId="48EA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continue"/>
            <w:shd w:val="clear" w:color="auto" w:fill="auto"/>
            <w:vAlign w:val="center"/>
          </w:tcPr>
          <w:p w14:paraId="6FBB18CC">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B22055D">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352A547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D32提升培训人员综合素质增强就业技能</w:t>
            </w:r>
          </w:p>
        </w:tc>
        <w:tc>
          <w:tcPr>
            <w:tcW w:w="379" w:type="pct"/>
            <w:shd w:val="clear" w:color="auto" w:fill="auto"/>
            <w:vAlign w:val="center"/>
          </w:tcPr>
          <w:p w14:paraId="1CFE7E89">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提升</w:t>
            </w:r>
          </w:p>
        </w:tc>
        <w:tc>
          <w:tcPr>
            <w:tcW w:w="230" w:type="pct"/>
            <w:shd w:val="clear" w:color="auto" w:fill="auto"/>
            <w:vAlign w:val="center"/>
          </w:tcPr>
          <w:p w14:paraId="7167CD3B">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2</w:t>
            </w:r>
          </w:p>
        </w:tc>
        <w:tc>
          <w:tcPr>
            <w:tcW w:w="780" w:type="pct"/>
            <w:shd w:val="clear" w:color="auto" w:fill="auto"/>
            <w:vAlign w:val="center"/>
          </w:tcPr>
          <w:p w14:paraId="401E0A92">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考察提升培训人员综合素质增强就业技能情况，反映社会效益的实现程度。</w:t>
            </w:r>
          </w:p>
        </w:tc>
        <w:tc>
          <w:tcPr>
            <w:tcW w:w="1181" w:type="pct"/>
            <w:shd w:val="clear" w:color="auto" w:fill="auto"/>
            <w:vAlign w:val="center"/>
          </w:tcPr>
          <w:p w14:paraId="2721BF80">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评价要点：通过满意度调查情况，统计回答认为能够提升个人就业技能的比例。</w:t>
            </w:r>
          </w:p>
          <w:p w14:paraId="0C8D0B3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评分规则：满意度达到95%得满分，未达到的每减少1%扣1%权重分。</w:t>
            </w:r>
          </w:p>
        </w:tc>
        <w:tc>
          <w:tcPr>
            <w:tcW w:w="942" w:type="pct"/>
            <w:shd w:val="clear" w:color="auto" w:fill="auto"/>
            <w:vAlign w:val="center"/>
          </w:tcPr>
          <w:p w14:paraId="2CADB19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根据满意度调查结果，统计回答认为南京市供销合作总社组织的学习培训能够提升个人就业技能的99.00%，达成。</w:t>
            </w:r>
          </w:p>
        </w:tc>
        <w:tc>
          <w:tcPr>
            <w:tcW w:w="259" w:type="pct"/>
            <w:shd w:val="clear" w:color="auto" w:fill="auto"/>
            <w:vAlign w:val="center"/>
          </w:tcPr>
          <w:p w14:paraId="5EDDB728">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416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6" w:type="pct"/>
            <w:vMerge w:val="continue"/>
            <w:shd w:val="clear" w:color="auto" w:fill="auto"/>
            <w:vAlign w:val="center"/>
          </w:tcPr>
          <w:p w14:paraId="0272D199">
            <w:pPr>
              <w:widowControl/>
              <w:adjustRightInd w:val="0"/>
              <w:snapToGrid w:val="0"/>
              <w:spacing w:line="260" w:lineRule="exact"/>
              <w:ind w:firstLine="0" w:firstLineChars="0"/>
              <w:jc w:val="center"/>
              <w:rPr>
                <w:rFonts w:cs="宋体"/>
                <w:kern w:val="2"/>
                <w:sz w:val="21"/>
                <w:szCs w:val="16"/>
              </w:rPr>
            </w:pPr>
          </w:p>
        </w:tc>
        <w:tc>
          <w:tcPr>
            <w:tcW w:w="551" w:type="pct"/>
            <w:vMerge w:val="continue"/>
            <w:shd w:val="clear" w:color="auto" w:fill="auto"/>
            <w:vAlign w:val="center"/>
          </w:tcPr>
          <w:p w14:paraId="62BA4751">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4E7BCE4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D33提升供销社影响力</w:t>
            </w:r>
          </w:p>
        </w:tc>
        <w:tc>
          <w:tcPr>
            <w:tcW w:w="379" w:type="pct"/>
            <w:shd w:val="clear" w:color="auto" w:fill="auto"/>
            <w:vAlign w:val="center"/>
          </w:tcPr>
          <w:p w14:paraId="58E6EAB8">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kern w:val="2"/>
                <w:sz w:val="21"/>
                <w:szCs w:val="16"/>
              </w:rPr>
              <w:t>提升</w:t>
            </w:r>
          </w:p>
        </w:tc>
        <w:tc>
          <w:tcPr>
            <w:tcW w:w="230" w:type="pct"/>
            <w:shd w:val="clear" w:color="auto" w:fill="auto"/>
            <w:vAlign w:val="center"/>
          </w:tcPr>
          <w:p w14:paraId="6E778B6D">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2</w:t>
            </w:r>
          </w:p>
        </w:tc>
        <w:tc>
          <w:tcPr>
            <w:tcW w:w="780" w:type="pct"/>
            <w:shd w:val="clear" w:color="auto" w:fill="auto"/>
            <w:vAlign w:val="center"/>
          </w:tcPr>
          <w:p w14:paraId="256F3F58">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考察提升供销社影响力，反映社会效益的实现程度。</w:t>
            </w:r>
          </w:p>
        </w:tc>
        <w:tc>
          <w:tcPr>
            <w:tcW w:w="1181" w:type="pct"/>
            <w:shd w:val="clear" w:color="auto" w:fill="auto"/>
            <w:vAlign w:val="center"/>
          </w:tcPr>
          <w:p w14:paraId="5D26119B">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评价要点：</w:t>
            </w:r>
          </w:p>
          <w:p w14:paraId="6ADCB5B0">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1.为农民专业合作社和品牌授权企业提供金融服务；</w:t>
            </w:r>
          </w:p>
          <w:p w14:paraId="2D17F03B">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2.积极推出为农服务新业态；</w:t>
            </w:r>
          </w:p>
          <w:p w14:paraId="0F59FFBE">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评分规则：以上要点各占1/2权重，要点执行情况分为达成、部分达成、未达成三档，分别按分值的100%-80%（含）、80%-60%（含）、60%-0%合理确定分值。</w:t>
            </w:r>
          </w:p>
        </w:tc>
        <w:tc>
          <w:tcPr>
            <w:tcW w:w="942" w:type="pct"/>
            <w:shd w:val="clear" w:color="auto" w:fill="auto"/>
            <w:vAlign w:val="center"/>
          </w:tcPr>
          <w:p w14:paraId="1A06353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根据“南京市供销合作社第六届理事会第八次全体会议工作报告”，1.整合系统经营服务体系资源与多家银行合作提供3.3亿元授信额，达成。2.推出农文旅融合等新业态，达成。</w:t>
            </w:r>
          </w:p>
        </w:tc>
        <w:tc>
          <w:tcPr>
            <w:tcW w:w="259" w:type="pct"/>
            <w:shd w:val="clear" w:color="auto" w:fill="auto"/>
            <w:vAlign w:val="center"/>
          </w:tcPr>
          <w:p w14:paraId="5360FD6A">
            <w:pPr>
              <w:widowControl/>
              <w:adjustRightInd w:val="0"/>
              <w:snapToGrid w:val="0"/>
              <w:spacing w:line="260" w:lineRule="exact"/>
              <w:ind w:firstLine="0" w:firstLineChars="0"/>
              <w:jc w:val="center"/>
              <w:textAlignment w:val="center"/>
              <w:rPr>
                <w:rFonts w:cs="宋体"/>
                <w:sz w:val="21"/>
                <w:szCs w:val="16"/>
              </w:rPr>
            </w:pPr>
            <w:r>
              <w:rPr>
                <w:rFonts w:hint="eastAsia" w:cs="宋体"/>
                <w:sz w:val="21"/>
                <w:szCs w:val="16"/>
              </w:rPr>
              <w:t>2.00</w:t>
            </w:r>
          </w:p>
        </w:tc>
      </w:tr>
      <w:tr w14:paraId="55BA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6" w:type="pct"/>
            <w:vMerge w:val="continue"/>
            <w:shd w:val="clear" w:color="auto" w:fill="auto"/>
            <w:vAlign w:val="center"/>
          </w:tcPr>
          <w:p w14:paraId="3113C65D">
            <w:pPr>
              <w:widowControl/>
              <w:adjustRightInd w:val="0"/>
              <w:snapToGrid w:val="0"/>
              <w:spacing w:line="260" w:lineRule="exact"/>
              <w:ind w:firstLine="0" w:firstLineChars="0"/>
              <w:jc w:val="center"/>
              <w:rPr>
                <w:rFonts w:cs="宋体"/>
                <w:color w:val="auto"/>
                <w:kern w:val="2"/>
                <w:sz w:val="21"/>
                <w:szCs w:val="16"/>
              </w:rPr>
            </w:pPr>
          </w:p>
        </w:tc>
        <w:tc>
          <w:tcPr>
            <w:tcW w:w="551" w:type="pct"/>
            <w:vMerge w:val="restart"/>
            <w:shd w:val="clear" w:color="auto" w:fill="auto"/>
            <w:vAlign w:val="center"/>
          </w:tcPr>
          <w:p w14:paraId="6ABEA56E">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D4可持续影响（</w:t>
            </w:r>
            <w:r>
              <w:rPr>
                <w:rFonts w:hint="eastAsia" w:cs="宋体"/>
                <w:color w:val="auto"/>
                <w:sz w:val="21"/>
                <w:szCs w:val="16"/>
                <w:lang w:val="en-US" w:eastAsia="zh-CN"/>
              </w:rPr>
              <w:t>5</w:t>
            </w:r>
            <w:r>
              <w:rPr>
                <w:rFonts w:hint="eastAsia" w:cs="宋体"/>
                <w:color w:val="auto"/>
                <w:sz w:val="21"/>
                <w:szCs w:val="16"/>
              </w:rPr>
              <w:t>）</w:t>
            </w:r>
          </w:p>
        </w:tc>
        <w:tc>
          <w:tcPr>
            <w:tcW w:w="400" w:type="pct"/>
            <w:shd w:val="clear" w:color="auto" w:fill="auto"/>
            <w:vAlign w:val="center"/>
          </w:tcPr>
          <w:p w14:paraId="4328BC3D">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D41规范市场秩序有效性</w:t>
            </w:r>
          </w:p>
        </w:tc>
        <w:tc>
          <w:tcPr>
            <w:tcW w:w="379" w:type="pct"/>
            <w:shd w:val="clear" w:color="auto" w:fill="auto"/>
            <w:vAlign w:val="center"/>
          </w:tcPr>
          <w:p w14:paraId="62E44AA1">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kern w:val="2"/>
                <w:sz w:val="21"/>
                <w:szCs w:val="16"/>
              </w:rPr>
              <w:t>有效</w:t>
            </w:r>
          </w:p>
        </w:tc>
        <w:tc>
          <w:tcPr>
            <w:tcW w:w="230" w:type="pct"/>
            <w:shd w:val="clear" w:color="auto" w:fill="auto"/>
            <w:vAlign w:val="center"/>
          </w:tcPr>
          <w:p w14:paraId="32BEF248">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2</w:t>
            </w:r>
          </w:p>
        </w:tc>
        <w:tc>
          <w:tcPr>
            <w:tcW w:w="780" w:type="pct"/>
            <w:shd w:val="clear" w:color="auto" w:fill="auto"/>
            <w:vAlign w:val="center"/>
          </w:tcPr>
          <w:p w14:paraId="2264FEC2">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考察市场经营秩序情况，反映可持续影响的实现程度。</w:t>
            </w:r>
          </w:p>
        </w:tc>
        <w:tc>
          <w:tcPr>
            <w:tcW w:w="1181" w:type="pct"/>
            <w:shd w:val="clear" w:color="auto" w:fill="auto"/>
            <w:vAlign w:val="center"/>
          </w:tcPr>
          <w:p w14:paraId="722D312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评价要点：加强农资网点管理监督情况</w:t>
            </w:r>
          </w:p>
          <w:p w14:paraId="58FF7C0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评分规则：管理监督切实可行得满分</w:t>
            </w:r>
          </w:p>
        </w:tc>
        <w:tc>
          <w:tcPr>
            <w:tcW w:w="942" w:type="pct"/>
            <w:shd w:val="clear" w:color="auto" w:fill="auto"/>
            <w:vAlign w:val="center"/>
          </w:tcPr>
          <w:p w14:paraId="6B6A7C3F">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根据“南京市供销合作社第六届理事会第八次全体会议工作报告”，2024年市供销合作总社有开展“农资打假专项行动”“放心农资下乡进村”等活动。</w:t>
            </w:r>
          </w:p>
        </w:tc>
        <w:tc>
          <w:tcPr>
            <w:tcW w:w="259" w:type="pct"/>
            <w:shd w:val="clear" w:color="auto" w:fill="auto"/>
            <w:vAlign w:val="center"/>
          </w:tcPr>
          <w:p w14:paraId="5CEFC97C">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2.00</w:t>
            </w:r>
          </w:p>
        </w:tc>
      </w:tr>
      <w:tr w14:paraId="4A5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76" w:type="pct"/>
            <w:vMerge w:val="continue"/>
            <w:shd w:val="clear" w:color="auto" w:fill="auto"/>
            <w:vAlign w:val="center"/>
          </w:tcPr>
          <w:p w14:paraId="307A0212">
            <w:pPr>
              <w:widowControl/>
              <w:adjustRightInd w:val="0"/>
              <w:snapToGrid w:val="0"/>
              <w:spacing w:line="260" w:lineRule="exact"/>
              <w:ind w:firstLine="0" w:firstLineChars="0"/>
              <w:jc w:val="center"/>
              <w:rPr>
                <w:rFonts w:cs="宋体"/>
                <w:color w:val="auto"/>
                <w:kern w:val="2"/>
                <w:sz w:val="21"/>
                <w:szCs w:val="16"/>
              </w:rPr>
            </w:pPr>
          </w:p>
        </w:tc>
        <w:tc>
          <w:tcPr>
            <w:tcW w:w="551" w:type="pct"/>
            <w:vMerge w:val="continue"/>
            <w:shd w:val="clear" w:color="auto" w:fill="auto"/>
            <w:vAlign w:val="center"/>
          </w:tcPr>
          <w:p w14:paraId="03E3B980">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11F0FC54">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D42农村合作经济组织体系完善</w:t>
            </w:r>
          </w:p>
        </w:tc>
        <w:tc>
          <w:tcPr>
            <w:tcW w:w="379" w:type="pct"/>
            <w:shd w:val="clear" w:color="auto" w:fill="auto"/>
            <w:vAlign w:val="center"/>
          </w:tcPr>
          <w:p w14:paraId="466BDA32">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完善</w:t>
            </w:r>
          </w:p>
        </w:tc>
        <w:tc>
          <w:tcPr>
            <w:tcW w:w="230" w:type="pct"/>
            <w:shd w:val="clear" w:color="auto" w:fill="auto"/>
            <w:vAlign w:val="center"/>
          </w:tcPr>
          <w:p w14:paraId="1A86583C">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2</w:t>
            </w:r>
          </w:p>
        </w:tc>
        <w:tc>
          <w:tcPr>
            <w:tcW w:w="780" w:type="pct"/>
            <w:shd w:val="clear" w:color="auto" w:fill="auto"/>
            <w:vAlign w:val="center"/>
          </w:tcPr>
          <w:p w14:paraId="54B2829E">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考察农村合作经济组织体系完善情况，反映可持续</w:t>
            </w:r>
            <w:bookmarkStart w:id="34" w:name="_GoBack"/>
            <w:bookmarkEnd w:id="34"/>
            <w:r>
              <w:rPr>
                <w:rFonts w:hint="eastAsia" w:cs="宋体"/>
                <w:color w:val="auto"/>
                <w:sz w:val="21"/>
                <w:szCs w:val="16"/>
              </w:rPr>
              <w:t>影响的实现程度。</w:t>
            </w:r>
          </w:p>
        </w:tc>
        <w:tc>
          <w:tcPr>
            <w:tcW w:w="1181" w:type="pct"/>
            <w:shd w:val="clear" w:color="auto" w:fill="auto"/>
            <w:vAlign w:val="center"/>
          </w:tcPr>
          <w:p w14:paraId="065FD9DE">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评价要点：农村合作经济组织体系是否完善。</w:t>
            </w:r>
          </w:p>
          <w:p w14:paraId="5E592354">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评分规则：完善得满分，基本完善得60%分值，不完善不得分。</w:t>
            </w:r>
          </w:p>
        </w:tc>
        <w:tc>
          <w:tcPr>
            <w:tcW w:w="942" w:type="pct"/>
            <w:shd w:val="clear" w:color="auto" w:fill="auto"/>
            <w:vAlign w:val="center"/>
          </w:tcPr>
          <w:p w14:paraId="43C1D795">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根据“南京市供销合作社第六届理事会第八次全体会议工作报告”2024年通过整个系统资源整合，农村合作经济组织体系基本完善，扣0.8分。</w:t>
            </w:r>
          </w:p>
        </w:tc>
        <w:tc>
          <w:tcPr>
            <w:tcW w:w="259" w:type="pct"/>
            <w:shd w:val="clear" w:color="auto" w:fill="auto"/>
            <w:vAlign w:val="center"/>
          </w:tcPr>
          <w:p w14:paraId="0BE61EBA">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1.20</w:t>
            </w:r>
          </w:p>
        </w:tc>
      </w:tr>
      <w:tr w14:paraId="4362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76" w:type="pct"/>
            <w:vMerge w:val="continue"/>
            <w:shd w:val="clear" w:color="auto" w:fill="auto"/>
            <w:vAlign w:val="center"/>
          </w:tcPr>
          <w:p w14:paraId="41CFD3AC">
            <w:pPr>
              <w:widowControl/>
              <w:adjustRightInd w:val="0"/>
              <w:snapToGrid w:val="0"/>
              <w:spacing w:line="260" w:lineRule="exact"/>
              <w:ind w:firstLine="0" w:firstLineChars="0"/>
              <w:jc w:val="center"/>
              <w:rPr>
                <w:rFonts w:cs="宋体"/>
                <w:color w:val="auto"/>
                <w:kern w:val="2"/>
                <w:sz w:val="21"/>
                <w:szCs w:val="16"/>
              </w:rPr>
            </w:pPr>
          </w:p>
        </w:tc>
        <w:tc>
          <w:tcPr>
            <w:tcW w:w="551" w:type="pct"/>
            <w:vMerge w:val="continue"/>
            <w:shd w:val="clear" w:color="auto" w:fill="auto"/>
            <w:vAlign w:val="center"/>
          </w:tcPr>
          <w:p w14:paraId="626481D6">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4FDE1796">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D43建立健全业务相关制度</w:t>
            </w:r>
          </w:p>
        </w:tc>
        <w:tc>
          <w:tcPr>
            <w:tcW w:w="379" w:type="pct"/>
            <w:shd w:val="clear" w:color="auto" w:fill="auto"/>
            <w:vAlign w:val="center"/>
          </w:tcPr>
          <w:p w14:paraId="21C49C3C">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建立健全</w:t>
            </w:r>
          </w:p>
        </w:tc>
        <w:tc>
          <w:tcPr>
            <w:tcW w:w="230" w:type="pct"/>
            <w:shd w:val="clear" w:color="auto" w:fill="auto"/>
            <w:vAlign w:val="center"/>
          </w:tcPr>
          <w:p w14:paraId="7A6EA25E">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1</w:t>
            </w:r>
          </w:p>
        </w:tc>
        <w:tc>
          <w:tcPr>
            <w:tcW w:w="780" w:type="pct"/>
            <w:shd w:val="clear" w:color="auto" w:fill="auto"/>
            <w:vAlign w:val="center"/>
          </w:tcPr>
          <w:p w14:paraId="6A85FC0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考察部门（单位）业务制度建立健全情况，是否提升项目的合规性，反映可持续影响的实现程度。</w:t>
            </w:r>
          </w:p>
        </w:tc>
        <w:tc>
          <w:tcPr>
            <w:tcW w:w="1181" w:type="pct"/>
            <w:shd w:val="clear" w:color="auto" w:fill="auto"/>
            <w:vAlign w:val="center"/>
          </w:tcPr>
          <w:p w14:paraId="3252BFFD">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评价要点：</w:t>
            </w:r>
          </w:p>
          <w:p w14:paraId="02757CA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制定《南京市供销合作总社预算绩效管理办法》。</w:t>
            </w:r>
          </w:p>
          <w:p w14:paraId="1D391FC5">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评分规则：要点执行情况分为达成、部分达成、未达成三档，分别按分值的100%-80%（含）、80%-60%（含）、60%-0%合理确定分值。</w:t>
            </w:r>
          </w:p>
        </w:tc>
        <w:tc>
          <w:tcPr>
            <w:tcW w:w="942" w:type="pct"/>
            <w:shd w:val="clear" w:color="auto" w:fill="auto"/>
            <w:vAlign w:val="center"/>
          </w:tcPr>
          <w:p w14:paraId="0DBA907A">
            <w:pPr>
              <w:widowControl/>
              <w:adjustRightInd w:val="0"/>
              <w:snapToGrid w:val="0"/>
              <w:spacing w:line="260" w:lineRule="exact"/>
              <w:ind w:firstLine="0" w:firstLineChars="0"/>
              <w:textAlignment w:val="center"/>
              <w:rPr>
                <w:rFonts w:hint="eastAsia" w:cs="宋体"/>
                <w:color w:val="auto"/>
                <w:sz w:val="21"/>
                <w:szCs w:val="16"/>
              </w:rPr>
            </w:pPr>
            <w:r>
              <w:rPr>
                <w:rFonts w:hint="eastAsia" w:cs="宋体"/>
                <w:color w:val="auto"/>
                <w:sz w:val="21"/>
                <w:szCs w:val="16"/>
              </w:rPr>
              <w:t>根据市供销合作总社提供的相关资料：</w:t>
            </w:r>
          </w:p>
          <w:p w14:paraId="33AB8AB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2024年制定下发了《南京市供销合作总社预算绩效管理办法》，达成。</w:t>
            </w:r>
          </w:p>
        </w:tc>
        <w:tc>
          <w:tcPr>
            <w:tcW w:w="259" w:type="pct"/>
            <w:shd w:val="clear" w:color="auto" w:fill="auto"/>
            <w:vAlign w:val="center"/>
          </w:tcPr>
          <w:p w14:paraId="72CCC411">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1.00</w:t>
            </w:r>
          </w:p>
        </w:tc>
      </w:tr>
      <w:tr w14:paraId="0AB5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6" w:type="pct"/>
            <w:vMerge w:val="restart"/>
            <w:shd w:val="clear" w:color="auto" w:fill="auto"/>
            <w:vAlign w:val="center"/>
          </w:tcPr>
          <w:p w14:paraId="76F10A30">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E满意度（10）</w:t>
            </w:r>
          </w:p>
        </w:tc>
        <w:tc>
          <w:tcPr>
            <w:tcW w:w="551" w:type="pct"/>
            <w:vMerge w:val="restart"/>
            <w:shd w:val="clear" w:color="auto" w:fill="auto"/>
            <w:vAlign w:val="center"/>
          </w:tcPr>
          <w:p w14:paraId="0116D1F1">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E1服务对象满意度（10）</w:t>
            </w:r>
          </w:p>
        </w:tc>
        <w:tc>
          <w:tcPr>
            <w:tcW w:w="400" w:type="pct"/>
            <w:shd w:val="clear" w:color="auto" w:fill="auto"/>
            <w:vAlign w:val="center"/>
          </w:tcPr>
          <w:p w14:paraId="548CB783">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E11供销合作总社满意度调查工作合规率</w:t>
            </w:r>
          </w:p>
        </w:tc>
        <w:tc>
          <w:tcPr>
            <w:tcW w:w="379" w:type="pct"/>
            <w:shd w:val="clear" w:color="auto" w:fill="auto"/>
            <w:vAlign w:val="center"/>
          </w:tcPr>
          <w:p w14:paraId="14D793F5">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100%</w:t>
            </w:r>
          </w:p>
        </w:tc>
        <w:tc>
          <w:tcPr>
            <w:tcW w:w="230" w:type="pct"/>
            <w:shd w:val="clear" w:color="auto" w:fill="auto"/>
            <w:vAlign w:val="center"/>
          </w:tcPr>
          <w:p w14:paraId="4598BB01">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4</w:t>
            </w:r>
          </w:p>
        </w:tc>
        <w:tc>
          <w:tcPr>
            <w:tcW w:w="780" w:type="pct"/>
            <w:shd w:val="clear" w:color="auto" w:fill="auto"/>
            <w:vAlign w:val="center"/>
          </w:tcPr>
          <w:p w14:paraId="54D3230C">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通过评估问卷调查，了解市供销合作总社满意度情况。</w:t>
            </w:r>
          </w:p>
        </w:tc>
        <w:tc>
          <w:tcPr>
            <w:tcW w:w="1181" w:type="pct"/>
            <w:shd w:val="clear" w:color="auto" w:fill="auto"/>
            <w:vAlign w:val="center"/>
          </w:tcPr>
          <w:p w14:paraId="4CD84580">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评分规则：按照满意度调查问卷计算分值，满意度得分=满意度×分值。</w:t>
            </w:r>
          </w:p>
        </w:tc>
        <w:tc>
          <w:tcPr>
            <w:tcW w:w="942" w:type="pct"/>
            <w:shd w:val="clear" w:color="auto" w:fill="auto"/>
            <w:vAlign w:val="center"/>
          </w:tcPr>
          <w:p w14:paraId="3F68996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根据评价组满意度调查结果部门满意度为99.00%，依据评分标准，扣0.04分。</w:t>
            </w:r>
          </w:p>
        </w:tc>
        <w:tc>
          <w:tcPr>
            <w:tcW w:w="259" w:type="pct"/>
            <w:shd w:val="clear" w:color="auto" w:fill="auto"/>
            <w:vAlign w:val="center"/>
          </w:tcPr>
          <w:p w14:paraId="6543C07D">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3.96</w:t>
            </w:r>
          </w:p>
        </w:tc>
      </w:tr>
      <w:tr w14:paraId="17CE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6" w:type="pct"/>
            <w:vMerge w:val="continue"/>
            <w:shd w:val="clear" w:color="auto" w:fill="auto"/>
            <w:vAlign w:val="center"/>
          </w:tcPr>
          <w:p w14:paraId="1F400DB5">
            <w:pPr>
              <w:widowControl/>
              <w:adjustRightInd w:val="0"/>
              <w:snapToGrid w:val="0"/>
              <w:spacing w:line="260" w:lineRule="exact"/>
              <w:ind w:firstLine="0" w:firstLineChars="0"/>
              <w:jc w:val="center"/>
              <w:rPr>
                <w:rFonts w:cs="宋体"/>
                <w:color w:val="auto"/>
                <w:kern w:val="2"/>
                <w:sz w:val="21"/>
                <w:szCs w:val="16"/>
              </w:rPr>
            </w:pPr>
          </w:p>
        </w:tc>
        <w:tc>
          <w:tcPr>
            <w:tcW w:w="551" w:type="pct"/>
            <w:vMerge w:val="continue"/>
            <w:shd w:val="clear" w:color="auto" w:fill="auto"/>
            <w:vAlign w:val="center"/>
          </w:tcPr>
          <w:p w14:paraId="1616E27C">
            <w:pPr>
              <w:widowControl/>
              <w:adjustRightInd w:val="0"/>
              <w:snapToGrid w:val="0"/>
              <w:spacing w:line="260" w:lineRule="exact"/>
              <w:ind w:firstLine="0" w:firstLineChars="0"/>
              <w:jc w:val="center"/>
              <w:rPr>
                <w:rFonts w:cs="宋体"/>
                <w:color w:val="auto"/>
                <w:kern w:val="2"/>
                <w:sz w:val="21"/>
                <w:szCs w:val="16"/>
              </w:rPr>
            </w:pPr>
          </w:p>
        </w:tc>
        <w:tc>
          <w:tcPr>
            <w:tcW w:w="400" w:type="pct"/>
            <w:shd w:val="clear" w:color="auto" w:fill="auto"/>
            <w:vAlign w:val="center"/>
          </w:tcPr>
          <w:p w14:paraId="39410447">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E12服务对象满意度</w:t>
            </w:r>
          </w:p>
        </w:tc>
        <w:tc>
          <w:tcPr>
            <w:tcW w:w="379" w:type="pct"/>
            <w:shd w:val="clear" w:color="auto" w:fill="auto"/>
            <w:vAlign w:val="center"/>
          </w:tcPr>
          <w:p w14:paraId="0E622DAD">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100%</w:t>
            </w:r>
          </w:p>
        </w:tc>
        <w:tc>
          <w:tcPr>
            <w:tcW w:w="230" w:type="pct"/>
            <w:shd w:val="clear" w:color="auto" w:fill="auto"/>
            <w:vAlign w:val="center"/>
          </w:tcPr>
          <w:p w14:paraId="2F59C760">
            <w:pPr>
              <w:widowControl/>
              <w:adjustRightInd w:val="0"/>
              <w:snapToGrid w:val="0"/>
              <w:spacing w:line="260" w:lineRule="exact"/>
              <w:ind w:firstLine="0" w:firstLineChars="0"/>
              <w:jc w:val="center"/>
              <w:textAlignment w:val="center"/>
              <w:rPr>
                <w:rFonts w:cs="宋体"/>
                <w:color w:val="auto"/>
                <w:kern w:val="2"/>
                <w:sz w:val="21"/>
                <w:szCs w:val="16"/>
              </w:rPr>
            </w:pPr>
            <w:r>
              <w:rPr>
                <w:rFonts w:hint="eastAsia" w:cs="宋体"/>
                <w:color w:val="auto"/>
                <w:sz w:val="21"/>
                <w:szCs w:val="16"/>
              </w:rPr>
              <w:t>6</w:t>
            </w:r>
          </w:p>
        </w:tc>
        <w:tc>
          <w:tcPr>
            <w:tcW w:w="780" w:type="pct"/>
            <w:shd w:val="clear" w:color="auto" w:fill="auto"/>
            <w:vAlign w:val="center"/>
          </w:tcPr>
          <w:p w14:paraId="62C4C211">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通过问卷调查了解社员对部门履职效果的满意程度。</w:t>
            </w:r>
          </w:p>
        </w:tc>
        <w:tc>
          <w:tcPr>
            <w:tcW w:w="1181" w:type="pct"/>
            <w:shd w:val="clear" w:color="auto" w:fill="auto"/>
            <w:vAlign w:val="center"/>
          </w:tcPr>
          <w:p w14:paraId="15C26334">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评分规则：按照满意度调查问卷计算分值，满意度得分=满意度×分值。</w:t>
            </w:r>
          </w:p>
        </w:tc>
        <w:tc>
          <w:tcPr>
            <w:tcW w:w="942" w:type="pct"/>
            <w:shd w:val="clear" w:color="auto" w:fill="auto"/>
            <w:vAlign w:val="center"/>
          </w:tcPr>
          <w:p w14:paraId="153E4CE2">
            <w:pPr>
              <w:widowControl/>
              <w:adjustRightInd w:val="0"/>
              <w:snapToGrid w:val="0"/>
              <w:spacing w:line="260" w:lineRule="exact"/>
              <w:ind w:firstLine="0" w:firstLineChars="0"/>
              <w:textAlignment w:val="center"/>
              <w:rPr>
                <w:rFonts w:cs="宋体"/>
                <w:color w:val="auto"/>
                <w:sz w:val="21"/>
                <w:szCs w:val="16"/>
              </w:rPr>
            </w:pPr>
            <w:r>
              <w:rPr>
                <w:rFonts w:hint="eastAsia" w:cs="宋体"/>
                <w:color w:val="auto"/>
                <w:sz w:val="21"/>
                <w:szCs w:val="16"/>
              </w:rPr>
              <w:t>根据满意度调查结果，社员对南京市供销合作总社整体工作满意度为99.00%，依据评分标准，扣0.06分。</w:t>
            </w:r>
          </w:p>
        </w:tc>
        <w:tc>
          <w:tcPr>
            <w:tcW w:w="259" w:type="pct"/>
            <w:shd w:val="clear" w:color="auto" w:fill="auto"/>
            <w:vAlign w:val="center"/>
          </w:tcPr>
          <w:p w14:paraId="26432365">
            <w:pPr>
              <w:widowControl/>
              <w:adjustRightInd w:val="0"/>
              <w:snapToGrid w:val="0"/>
              <w:spacing w:line="260" w:lineRule="exact"/>
              <w:ind w:firstLine="0" w:firstLineChars="0"/>
              <w:jc w:val="center"/>
              <w:textAlignment w:val="center"/>
              <w:rPr>
                <w:rFonts w:cs="宋体"/>
                <w:color w:val="auto"/>
                <w:sz w:val="21"/>
                <w:szCs w:val="16"/>
              </w:rPr>
            </w:pPr>
            <w:r>
              <w:rPr>
                <w:rFonts w:hint="eastAsia" w:cs="宋体"/>
                <w:color w:val="auto"/>
                <w:sz w:val="21"/>
                <w:szCs w:val="16"/>
              </w:rPr>
              <w:t>5.94</w:t>
            </w:r>
          </w:p>
        </w:tc>
      </w:tr>
      <w:tr w14:paraId="217D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06" w:type="pct"/>
            <w:gridSpan w:val="4"/>
            <w:shd w:val="clear" w:color="auto" w:fill="auto"/>
            <w:vAlign w:val="center"/>
          </w:tcPr>
          <w:p w14:paraId="47D8AC52">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合计</w:t>
            </w:r>
          </w:p>
        </w:tc>
        <w:tc>
          <w:tcPr>
            <w:tcW w:w="230" w:type="pct"/>
            <w:shd w:val="clear" w:color="auto" w:fill="auto"/>
            <w:vAlign w:val="center"/>
          </w:tcPr>
          <w:p w14:paraId="0172E9E5">
            <w:pPr>
              <w:widowControl/>
              <w:adjustRightInd w:val="0"/>
              <w:snapToGrid w:val="0"/>
              <w:spacing w:line="260" w:lineRule="exact"/>
              <w:ind w:firstLine="0" w:firstLineChars="0"/>
              <w:jc w:val="center"/>
              <w:textAlignment w:val="center"/>
              <w:rPr>
                <w:rFonts w:cs="宋体"/>
                <w:b/>
                <w:bCs/>
                <w:kern w:val="2"/>
                <w:sz w:val="21"/>
                <w:szCs w:val="16"/>
              </w:rPr>
            </w:pPr>
            <w:r>
              <w:rPr>
                <w:rFonts w:hint="eastAsia" w:cs="宋体"/>
                <w:b/>
                <w:bCs/>
                <w:sz w:val="21"/>
                <w:szCs w:val="16"/>
              </w:rPr>
              <w:t>100</w:t>
            </w:r>
          </w:p>
        </w:tc>
        <w:tc>
          <w:tcPr>
            <w:tcW w:w="780" w:type="pct"/>
            <w:shd w:val="clear" w:color="auto" w:fill="auto"/>
            <w:vAlign w:val="center"/>
          </w:tcPr>
          <w:p w14:paraId="6272AC1A">
            <w:pPr>
              <w:widowControl/>
              <w:adjustRightInd w:val="0"/>
              <w:snapToGrid w:val="0"/>
              <w:spacing w:line="260" w:lineRule="exact"/>
              <w:ind w:firstLine="0" w:firstLineChars="0"/>
              <w:jc w:val="center"/>
              <w:rPr>
                <w:rFonts w:cs="宋体"/>
                <w:b/>
                <w:bCs/>
                <w:kern w:val="2"/>
                <w:sz w:val="21"/>
                <w:szCs w:val="16"/>
              </w:rPr>
            </w:pPr>
          </w:p>
        </w:tc>
        <w:tc>
          <w:tcPr>
            <w:tcW w:w="1181" w:type="pct"/>
            <w:shd w:val="clear" w:color="auto" w:fill="auto"/>
            <w:vAlign w:val="center"/>
          </w:tcPr>
          <w:p w14:paraId="1D0CBDAE">
            <w:pPr>
              <w:widowControl/>
              <w:adjustRightInd w:val="0"/>
              <w:snapToGrid w:val="0"/>
              <w:spacing w:line="260" w:lineRule="exact"/>
              <w:ind w:firstLine="0" w:firstLineChars="0"/>
              <w:jc w:val="center"/>
              <w:rPr>
                <w:rFonts w:cs="宋体"/>
                <w:b/>
                <w:bCs/>
                <w:kern w:val="2"/>
                <w:sz w:val="21"/>
                <w:szCs w:val="16"/>
              </w:rPr>
            </w:pPr>
          </w:p>
        </w:tc>
        <w:tc>
          <w:tcPr>
            <w:tcW w:w="942" w:type="pct"/>
            <w:shd w:val="clear" w:color="auto" w:fill="auto"/>
            <w:vAlign w:val="center"/>
          </w:tcPr>
          <w:p w14:paraId="02E35A93">
            <w:pPr>
              <w:widowControl/>
              <w:adjustRightInd w:val="0"/>
              <w:snapToGrid w:val="0"/>
              <w:spacing w:line="260" w:lineRule="exact"/>
              <w:ind w:firstLine="0" w:firstLineChars="0"/>
              <w:jc w:val="center"/>
              <w:rPr>
                <w:rFonts w:cs="宋体"/>
                <w:b/>
                <w:bCs/>
                <w:kern w:val="2"/>
                <w:sz w:val="21"/>
                <w:szCs w:val="16"/>
              </w:rPr>
            </w:pPr>
          </w:p>
        </w:tc>
        <w:tc>
          <w:tcPr>
            <w:tcW w:w="259" w:type="pct"/>
            <w:shd w:val="clear" w:color="auto" w:fill="auto"/>
            <w:vAlign w:val="center"/>
          </w:tcPr>
          <w:p w14:paraId="639EF420">
            <w:pPr>
              <w:widowControl/>
              <w:adjustRightInd w:val="0"/>
              <w:snapToGrid w:val="0"/>
              <w:spacing w:line="260" w:lineRule="exact"/>
              <w:ind w:firstLine="0" w:firstLineChars="0"/>
              <w:jc w:val="center"/>
              <w:textAlignment w:val="center"/>
              <w:rPr>
                <w:rFonts w:hint="default" w:eastAsia="仿宋" w:cs="宋体"/>
                <w:b/>
                <w:bCs/>
                <w:kern w:val="2"/>
                <w:sz w:val="21"/>
                <w:szCs w:val="16"/>
                <w:lang w:val="en-US" w:eastAsia="zh-CN"/>
              </w:rPr>
            </w:pPr>
            <w:r>
              <w:rPr>
                <w:rFonts w:hint="eastAsia" w:cs="宋体"/>
                <w:b/>
                <w:bCs/>
                <w:kern w:val="2"/>
                <w:sz w:val="21"/>
                <w:szCs w:val="16"/>
                <w:lang w:val="en-US" w:eastAsia="zh-CN"/>
              </w:rPr>
              <w:t>94.414</w:t>
            </w:r>
          </w:p>
        </w:tc>
      </w:tr>
    </w:tbl>
    <w:p w14:paraId="5C80188B">
      <w:pPr>
        <w:ind w:firstLine="643"/>
        <w:jc w:val="center"/>
        <w:rPr>
          <w:b/>
          <w:bCs/>
          <w:color w:val="auto"/>
        </w:rPr>
      </w:pPr>
    </w:p>
    <w:p w14:paraId="69755603">
      <w:pPr>
        <w:spacing w:line="240" w:lineRule="exact"/>
        <w:ind w:firstLine="0" w:firstLineChars="0"/>
        <w:rPr>
          <w:color w:val="auto"/>
        </w:rPr>
      </w:pPr>
    </w:p>
    <w:sectPr>
      <w:headerReference r:id="rId11" w:type="default"/>
      <w:footerReference r:id="rId12" w:type="default"/>
      <w:footnotePr>
        <w:numStart w:val="0"/>
      </w:footnotePr>
      <w:endnotePr>
        <w:numFmt w:val="decimal"/>
        <w:numStart w:val="0"/>
      </w:endnotePr>
      <w:pgSz w:w="16840" w:h="11907" w:orient="landscape"/>
      <w:pgMar w:top="1531" w:right="851" w:bottom="1531" w:left="88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A3DAE4-E312-4EB6-9D42-C7E17AEBE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8E5568C-7869-46D7-AC09-8411BDF95597}"/>
  </w:font>
  <w:font w:name="方正黑体_GBK">
    <w:panose1 w:val="03000509000000000000"/>
    <w:charset w:val="86"/>
    <w:family w:val="script"/>
    <w:pitch w:val="default"/>
    <w:sig w:usb0="00000001" w:usb1="080E0000" w:usb2="00000000" w:usb3="00000000" w:csb0="00040000" w:csb1="00000000"/>
    <w:embedRegular r:id="rId3" w:fontKey="{95154583-7266-4E09-8076-FD1A1528D809}"/>
  </w:font>
  <w:font w:name="方正仿宋_GBK">
    <w:panose1 w:val="03000509000000000000"/>
    <w:charset w:val="86"/>
    <w:family w:val="script"/>
    <w:pitch w:val="default"/>
    <w:sig w:usb0="00000001" w:usb1="080E0000" w:usb2="00000000" w:usb3="00000000" w:csb0="00040000" w:csb1="00000000"/>
    <w:embedRegular r:id="rId4" w:fontKey="{17D77F1C-32A7-4049-894B-F806664B2987}"/>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7FBDCED5-9AF7-4D71-B413-B82E2E02B56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6" w:fontKey="{9D2E809A-2A1E-482E-B2A8-BD4ECD26C388}"/>
  </w:font>
  <w:font w:name="方正小标宋简体">
    <w:panose1 w:val="03000509000000000000"/>
    <w:charset w:val="86"/>
    <w:family w:val="script"/>
    <w:pitch w:val="default"/>
    <w:sig w:usb0="00000001" w:usb1="080E0000" w:usb2="00000000" w:usb3="00000000" w:csb0="00040000" w:csb1="00000000"/>
    <w:embedRegular r:id="rId7" w:fontKey="{01BB6536-5E06-4165-8498-A60FA4496DE7}"/>
  </w:font>
  <w:font w:name="方正小标宋_GBK">
    <w:panose1 w:val="02000000000000000000"/>
    <w:charset w:val="86"/>
    <w:family w:val="script"/>
    <w:pitch w:val="default"/>
    <w:sig w:usb0="A00002BF" w:usb1="38CF7CFA" w:usb2="00082016" w:usb3="00000000" w:csb0="00040001" w:csb1="00000000"/>
    <w:embedRegular r:id="rId8" w:fontKey="{68C0CE19-59BC-431C-9322-25C4CBF17330}"/>
  </w:font>
  <w:font w:name="楷体_GB2312">
    <w:panose1 w:val="02010609030101010101"/>
    <w:charset w:val="86"/>
    <w:family w:val="modern"/>
    <w:pitch w:val="default"/>
    <w:sig w:usb0="00000001" w:usb1="080E0000" w:usb2="00000000" w:usb3="00000000" w:csb0="00040000" w:csb1="00000000"/>
    <w:embedRegular r:id="rId9" w:fontKey="{924DAF6B-EFB3-4C7B-B305-8A89925B37B8}"/>
  </w:font>
  <w:font w:name="方正仿宋_GB2312">
    <w:altName w:val="仿宋"/>
    <w:panose1 w:val="02000000000000000000"/>
    <w:charset w:val="86"/>
    <w:family w:val="roman"/>
    <w:pitch w:val="default"/>
    <w:sig w:usb0="00000000" w:usb1="00000000" w:usb2="00000012" w:usb3="00000000" w:csb0="00040001" w:csb1="00000000"/>
    <w:embedRegular r:id="rId10" w:fontKey="{660C8CE2-387F-4A14-8A97-51447C3A8541}"/>
  </w:font>
  <w:font w:name="华文仿宋">
    <w:panose1 w:val="02010600040101010101"/>
    <w:charset w:val="86"/>
    <w:family w:val="auto"/>
    <w:pitch w:val="default"/>
    <w:sig w:usb0="00000287" w:usb1="080F0000" w:usb2="00000000" w:usb3="00000000" w:csb0="0004009F" w:csb1="DFD70000"/>
    <w:embedRegular r:id="rId11" w:fontKey="{FF9BA13B-2066-4DE8-A41F-0FF59F8D6AB4}"/>
  </w:font>
  <w:font w:name="楷体">
    <w:panose1 w:val="02010609060101010101"/>
    <w:charset w:val="86"/>
    <w:family w:val="modern"/>
    <w:pitch w:val="default"/>
    <w:sig w:usb0="800002BF" w:usb1="38CF7CFA" w:usb2="00000016" w:usb3="00000000" w:csb0="00040001" w:csb1="00000000"/>
    <w:embedRegular r:id="rId12" w:fontKey="{968A6310-249C-44C6-A380-8A4D20D52A5A}"/>
  </w:font>
  <w:font w:name="PMingLiU-ExtB">
    <w:panose1 w:val="02020500000000000000"/>
    <w:charset w:val="88"/>
    <w:family w:val="auto"/>
    <w:pitch w:val="default"/>
    <w:sig w:usb0="8000002F" w:usb1="02000008" w:usb2="00000000" w:usb3="00000000" w:csb0="00100001"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F857">
    <w:pPr>
      <w:pStyle w:val="13"/>
      <w:spacing w:beforeLines="12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0400" cy="758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0400" cy="758190"/>
                      </a:xfrm>
                      <a:prstGeom prst="rect">
                        <a:avLst/>
                      </a:prstGeom>
                      <a:noFill/>
                      <a:ln w="6350">
                        <a:noFill/>
                      </a:ln>
                      <a:effectLst/>
                    </wps:spPr>
                    <wps:txbx>
                      <w:txbxContent>
                        <w:p w14:paraId="5C30F35D">
                          <w:pPr>
                            <w:pStyle w:val="13"/>
                            <w:ind w:firstLine="360"/>
                            <w:jc w:val="both"/>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59.7pt;width:52pt;mso-position-horizontal:center;mso-position-horizontal-relative:margin;z-index:251659264;mso-width-relative:page;mso-height-relative:page;" filled="f" stroked="f" coordsize="21600,21600" o:gfxdata="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951j0wAAAAUBAAAPAAAAAAAAAAEAIAAAACIAAABkcnMvZG93bnJldi54bWxQ&#10;SwECFAAUAAAACACHTuJAYmgdNTUCAABjBAAADgAAAAAAAAABACAAAAAiAQAAZHJzL2Uyb0RvYy54&#10;bWxQSwUGAAAAAAYABgBZAQAAyQUAAAAA&#10;">
              <v:fill on="f" focussize="0,0"/>
              <v:stroke on="f" weight="0.5pt"/>
              <v:imagedata o:title=""/>
              <o:lock v:ext="edit" aspectratio="f"/>
              <v:textbox inset="0mm,0mm,0mm,0mm">
                <w:txbxContent>
                  <w:p w14:paraId="5C30F35D">
                    <w:pPr>
                      <w:pStyle w:val="13"/>
                      <w:ind w:firstLine="360"/>
                      <w:jc w:val="both"/>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CA9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BB8A">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6002">
    <w:pPr>
      <w:pStyle w:val="13"/>
      <w:spacing w:beforeLines="10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C9D506">
                          <w:pPr>
                            <w:pStyle w:val="13"/>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v:fill on="f" focussize="0,0"/>
              <v:stroke on="f" weight="0.5pt"/>
              <v:imagedata o:title=""/>
              <o:lock v:ext="edit" aspectratio="f"/>
              <v:textbox inset="0mm,0mm,0mm,0mm" style="mso-fit-shape-to-text:t;">
                <w:txbxContent>
                  <w:p w14:paraId="05C9D506">
                    <w:pPr>
                      <w:pStyle w:val="13"/>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D793">
    <w:pPr>
      <w:pStyle w:val="14"/>
      <w:ind w:firstLine="360"/>
    </w:pPr>
  </w:p>
  <w:p w14:paraId="2B2A1B4F">
    <w:pPr>
      <w:pStyle w:val="14"/>
      <w:ind w:firstLine="0" w:firstLineChars="0"/>
    </w:pPr>
  </w:p>
  <w:p w14:paraId="648FBAE7">
    <w:pPr>
      <w:pStyle w:val="14"/>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5CCE">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21A9">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1E08">
    <w:pPr>
      <w:pStyle w:val="14"/>
      <w:ind w:firstLine="360"/>
    </w:pPr>
  </w:p>
  <w:p w14:paraId="671F6713">
    <w:pPr>
      <w:pStyle w:val="14"/>
      <w:ind w:firstLine="360"/>
    </w:pPr>
  </w:p>
  <w:p w14:paraId="628EA9FB">
    <w:pPr>
      <w:pStyle w:val="14"/>
      <w:ind w:firstLine="360"/>
    </w:pPr>
  </w:p>
  <w:p w14:paraId="04F35B1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E534A"/>
    <w:multiLevelType w:val="singleLevel"/>
    <w:tmpl w:val="D06E534A"/>
    <w:lvl w:ilvl="0" w:tentative="0">
      <w:start w:val="1"/>
      <w:numFmt w:val="chineseCounting"/>
      <w:suff w:val="nothing"/>
      <w:lvlText w:val="（%1）"/>
      <w:lvlJc w:val="left"/>
      <w:rPr>
        <w:rFonts w:hint="eastAsia"/>
      </w:rPr>
    </w:lvl>
  </w:abstractNum>
  <w:abstractNum w:abstractNumId="1">
    <w:nsid w:val="429C77F4"/>
    <w:multiLevelType w:val="singleLevel"/>
    <w:tmpl w:val="429C77F4"/>
    <w:lvl w:ilvl="0" w:tentative="0">
      <w:start w:val="1"/>
      <w:numFmt w:val="decimal"/>
      <w:lvlText w:val="%1."/>
      <w:lvlJc w:val="left"/>
      <w:pPr>
        <w:tabs>
          <w:tab w:val="left" w:pos="312"/>
        </w:tabs>
      </w:pPr>
    </w:lvl>
  </w:abstractNum>
  <w:abstractNum w:abstractNumId="2">
    <w:nsid w:val="53018CB6"/>
    <w:multiLevelType w:val="singleLevel"/>
    <w:tmpl w:val="53018CB6"/>
    <w:lvl w:ilvl="0" w:tentative="0">
      <w:start w:val="1"/>
      <w:numFmt w:val="chineseCounting"/>
      <w:suff w:val="nothing"/>
      <w:lvlText w:val="（%1）"/>
      <w:lvlJc w:val="left"/>
      <w:rPr>
        <w:rFonts w:hint="eastAsia"/>
      </w:rPr>
    </w:lvl>
  </w:abstractNum>
  <w:abstractNum w:abstractNumId="3">
    <w:nsid w:val="7614A225"/>
    <w:multiLevelType w:val="singleLevel"/>
    <w:tmpl w:val="7614A225"/>
    <w:lvl w:ilvl="0" w:tentative="0">
      <w:start w:val="2"/>
      <w:numFmt w:val="chineseCounting"/>
      <w:suff w:val="nothing"/>
      <w:lvlText w:val="（%1）"/>
      <w:lvlJc w:val="left"/>
      <w:rPr>
        <w:rFonts w:hint="eastAsia"/>
      </w:rPr>
    </w:lvl>
  </w:abstractNum>
  <w:abstractNum w:abstractNumId="4">
    <w:nsid w:val="7EBB3B74"/>
    <w:multiLevelType w:val="singleLevel"/>
    <w:tmpl w:val="7EBB3B74"/>
    <w:lvl w:ilvl="0" w:tentative="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numStart w:val="0"/>
    <w:footnote w:id="0"/>
    <w:footnote w:id="1"/>
  </w:footnotePr>
  <w:endnotePr>
    <w:numFmt w:val="decimal"/>
    <w:numStart w:val="0"/>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jYzN2MwM2ZmODFhYjI2Zjk4MGRmNjk5MzE5MGIifQ=="/>
  </w:docVars>
  <w:rsids>
    <w:rsidRoot w:val="00912F5E"/>
    <w:rsid w:val="00007D7C"/>
    <w:rsid w:val="00017EDD"/>
    <w:rsid w:val="00034158"/>
    <w:rsid w:val="00040CA4"/>
    <w:rsid w:val="000438CE"/>
    <w:rsid w:val="00054623"/>
    <w:rsid w:val="00056800"/>
    <w:rsid w:val="0006230B"/>
    <w:rsid w:val="0006312A"/>
    <w:rsid w:val="00070F14"/>
    <w:rsid w:val="0007523B"/>
    <w:rsid w:val="00075B47"/>
    <w:rsid w:val="00076009"/>
    <w:rsid w:val="000820F2"/>
    <w:rsid w:val="000907CA"/>
    <w:rsid w:val="00092F6B"/>
    <w:rsid w:val="00094522"/>
    <w:rsid w:val="00094D9A"/>
    <w:rsid w:val="00095DBD"/>
    <w:rsid w:val="000969A9"/>
    <w:rsid w:val="00096D76"/>
    <w:rsid w:val="00097C4C"/>
    <w:rsid w:val="000A2543"/>
    <w:rsid w:val="000A338D"/>
    <w:rsid w:val="000B0F87"/>
    <w:rsid w:val="000C38AD"/>
    <w:rsid w:val="000C4EEB"/>
    <w:rsid w:val="000D6CA1"/>
    <w:rsid w:val="000E0951"/>
    <w:rsid w:val="000E0DE8"/>
    <w:rsid w:val="000E23E0"/>
    <w:rsid w:val="000E2777"/>
    <w:rsid w:val="000E793D"/>
    <w:rsid w:val="000F01F2"/>
    <w:rsid w:val="000F1FA7"/>
    <w:rsid w:val="000F4A6C"/>
    <w:rsid w:val="00121741"/>
    <w:rsid w:val="001328EE"/>
    <w:rsid w:val="00137842"/>
    <w:rsid w:val="00142F36"/>
    <w:rsid w:val="00153AA8"/>
    <w:rsid w:val="001639C6"/>
    <w:rsid w:val="00164386"/>
    <w:rsid w:val="001707C3"/>
    <w:rsid w:val="001726A0"/>
    <w:rsid w:val="001A7AE9"/>
    <w:rsid w:val="001B28D2"/>
    <w:rsid w:val="001B55C9"/>
    <w:rsid w:val="001C243A"/>
    <w:rsid w:val="001C44A5"/>
    <w:rsid w:val="001E35B0"/>
    <w:rsid w:val="001E7D66"/>
    <w:rsid w:val="001F3AB5"/>
    <w:rsid w:val="001F506B"/>
    <w:rsid w:val="00200062"/>
    <w:rsid w:val="002166C5"/>
    <w:rsid w:val="00224F67"/>
    <w:rsid w:val="00226187"/>
    <w:rsid w:val="00240E1E"/>
    <w:rsid w:val="00245E97"/>
    <w:rsid w:val="00284620"/>
    <w:rsid w:val="002902A7"/>
    <w:rsid w:val="0029192D"/>
    <w:rsid w:val="002937A4"/>
    <w:rsid w:val="0029494F"/>
    <w:rsid w:val="002A7DE1"/>
    <w:rsid w:val="002B0FBD"/>
    <w:rsid w:val="002B4C21"/>
    <w:rsid w:val="002B7915"/>
    <w:rsid w:val="002B7BA2"/>
    <w:rsid w:val="002C267B"/>
    <w:rsid w:val="002F0BA1"/>
    <w:rsid w:val="002F173F"/>
    <w:rsid w:val="002F64DD"/>
    <w:rsid w:val="002F6A84"/>
    <w:rsid w:val="00304091"/>
    <w:rsid w:val="003059E5"/>
    <w:rsid w:val="00315FAB"/>
    <w:rsid w:val="00316305"/>
    <w:rsid w:val="0032595F"/>
    <w:rsid w:val="00337492"/>
    <w:rsid w:val="003374EF"/>
    <w:rsid w:val="00343738"/>
    <w:rsid w:val="00343E02"/>
    <w:rsid w:val="00355CA3"/>
    <w:rsid w:val="00356DDE"/>
    <w:rsid w:val="00374FA6"/>
    <w:rsid w:val="003A053B"/>
    <w:rsid w:val="003A5695"/>
    <w:rsid w:val="003B6B29"/>
    <w:rsid w:val="003D06D2"/>
    <w:rsid w:val="00412542"/>
    <w:rsid w:val="00414309"/>
    <w:rsid w:val="00416504"/>
    <w:rsid w:val="00430EC0"/>
    <w:rsid w:val="00432276"/>
    <w:rsid w:val="00443DEE"/>
    <w:rsid w:val="00444716"/>
    <w:rsid w:val="00455B89"/>
    <w:rsid w:val="00457756"/>
    <w:rsid w:val="0046689E"/>
    <w:rsid w:val="004742B0"/>
    <w:rsid w:val="00477D65"/>
    <w:rsid w:val="00490B92"/>
    <w:rsid w:val="004A60DD"/>
    <w:rsid w:val="004B3BFE"/>
    <w:rsid w:val="004B3C38"/>
    <w:rsid w:val="004B46EE"/>
    <w:rsid w:val="004B7776"/>
    <w:rsid w:val="004C2F18"/>
    <w:rsid w:val="004D71FD"/>
    <w:rsid w:val="004E59A5"/>
    <w:rsid w:val="004E71B8"/>
    <w:rsid w:val="004F05D1"/>
    <w:rsid w:val="005050D2"/>
    <w:rsid w:val="00523D03"/>
    <w:rsid w:val="0053020D"/>
    <w:rsid w:val="005354AE"/>
    <w:rsid w:val="005359F2"/>
    <w:rsid w:val="00552B2E"/>
    <w:rsid w:val="00553133"/>
    <w:rsid w:val="00561C52"/>
    <w:rsid w:val="00565969"/>
    <w:rsid w:val="0057009A"/>
    <w:rsid w:val="00570BC7"/>
    <w:rsid w:val="00577577"/>
    <w:rsid w:val="00580875"/>
    <w:rsid w:val="005843CC"/>
    <w:rsid w:val="00592DF3"/>
    <w:rsid w:val="00594DDE"/>
    <w:rsid w:val="0059685D"/>
    <w:rsid w:val="005A2790"/>
    <w:rsid w:val="005A54A2"/>
    <w:rsid w:val="005C2601"/>
    <w:rsid w:val="005C38C0"/>
    <w:rsid w:val="005C38C9"/>
    <w:rsid w:val="005C5DD7"/>
    <w:rsid w:val="005D1427"/>
    <w:rsid w:val="005D4670"/>
    <w:rsid w:val="005E2E65"/>
    <w:rsid w:val="00605B66"/>
    <w:rsid w:val="00607DFE"/>
    <w:rsid w:val="00612592"/>
    <w:rsid w:val="00624911"/>
    <w:rsid w:val="00632801"/>
    <w:rsid w:val="00633DA6"/>
    <w:rsid w:val="00643597"/>
    <w:rsid w:val="00646A7F"/>
    <w:rsid w:val="00647DA3"/>
    <w:rsid w:val="00655016"/>
    <w:rsid w:val="00660F3E"/>
    <w:rsid w:val="006648EB"/>
    <w:rsid w:val="0067413E"/>
    <w:rsid w:val="006742AD"/>
    <w:rsid w:val="0067573F"/>
    <w:rsid w:val="00680234"/>
    <w:rsid w:val="00687B31"/>
    <w:rsid w:val="00690770"/>
    <w:rsid w:val="006976ED"/>
    <w:rsid w:val="006A1AB1"/>
    <w:rsid w:val="006D771B"/>
    <w:rsid w:val="006E604D"/>
    <w:rsid w:val="006F22EF"/>
    <w:rsid w:val="006F6961"/>
    <w:rsid w:val="0070058A"/>
    <w:rsid w:val="007041B3"/>
    <w:rsid w:val="00704F95"/>
    <w:rsid w:val="00707D7D"/>
    <w:rsid w:val="0072036D"/>
    <w:rsid w:val="007306D5"/>
    <w:rsid w:val="00731EC2"/>
    <w:rsid w:val="0074052E"/>
    <w:rsid w:val="00756302"/>
    <w:rsid w:val="0077126B"/>
    <w:rsid w:val="00784F09"/>
    <w:rsid w:val="007959C7"/>
    <w:rsid w:val="007A106F"/>
    <w:rsid w:val="007B790E"/>
    <w:rsid w:val="007C0081"/>
    <w:rsid w:val="007C08AF"/>
    <w:rsid w:val="007D7B92"/>
    <w:rsid w:val="007E487C"/>
    <w:rsid w:val="007E5F1C"/>
    <w:rsid w:val="007E6C24"/>
    <w:rsid w:val="00802E5F"/>
    <w:rsid w:val="00803549"/>
    <w:rsid w:val="00812157"/>
    <w:rsid w:val="0081516E"/>
    <w:rsid w:val="0081590C"/>
    <w:rsid w:val="00817475"/>
    <w:rsid w:val="00840989"/>
    <w:rsid w:val="00850CF3"/>
    <w:rsid w:val="00854EC4"/>
    <w:rsid w:val="00861039"/>
    <w:rsid w:val="008730C3"/>
    <w:rsid w:val="00895E51"/>
    <w:rsid w:val="008B0A5D"/>
    <w:rsid w:val="008C3DFA"/>
    <w:rsid w:val="008C5BF0"/>
    <w:rsid w:val="008D107E"/>
    <w:rsid w:val="008E2F59"/>
    <w:rsid w:val="008E422B"/>
    <w:rsid w:val="009003BD"/>
    <w:rsid w:val="00902697"/>
    <w:rsid w:val="00912F5E"/>
    <w:rsid w:val="00917156"/>
    <w:rsid w:val="0092092C"/>
    <w:rsid w:val="00920C91"/>
    <w:rsid w:val="00922A7E"/>
    <w:rsid w:val="009269DA"/>
    <w:rsid w:val="0093536A"/>
    <w:rsid w:val="0093617C"/>
    <w:rsid w:val="00941309"/>
    <w:rsid w:val="00943DD6"/>
    <w:rsid w:val="00944311"/>
    <w:rsid w:val="00947EE0"/>
    <w:rsid w:val="00950204"/>
    <w:rsid w:val="009548DA"/>
    <w:rsid w:val="00966969"/>
    <w:rsid w:val="0097576A"/>
    <w:rsid w:val="0098123E"/>
    <w:rsid w:val="00985285"/>
    <w:rsid w:val="009B4C29"/>
    <w:rsid w:val="009C1AD1"/>
    <w:rsid w:val="009C3F3F"/>
    <w:rsid w:val="009D1382"/>
    <w:rsid w:val="009D537C"/>
    <w:rsid w:val="00A0079F"/>
    <w:rsid w:val="00A13D84"/>
    <w:rsid w:val="00A1474F"/>
    <w:rsid w:val="00A16B98"/>
    <w:rsid w:val="00A27867"/>
    <w:rsid w:val="00A30B52"/>
    <w:rsid w:val="00A33B6C"/>
    <w:rsid w:val="00A41DF4"/>
    <w:rsid w:val="00A4648E"/>
    <w:rsid w:val="00A565D8"/>
    <w:rsid w:val="00A66D6C"/>
    <w:rsid w:val="00A73773"/>
    <w:rsid w:val="00AA0D1C"/>
    <w:rsid w:val="00AA25E0"/>
    <w:rsid w:val="00AA5D21"/>
    <w:rsid w:val="00AB128D"/>
    <w:rsid w:val="00AC19FA"/>
    <w:rsid w:val="00AC2469"/>
    <w:rsid w:val="00AC3F3C"/>
    <w:rsid w:val="00AC6569"/>
    <w:rsid w:val="00AC6764"/>
    <w:rsid w:val="00AD0131"/>
    <w:rsid w:val="00AD0692"/>
    <w:rsid w:val="00AD26D1"/>
    <w:rsid w:val="00AF0ECA"/>
    <w:rsid w:val="00B0068D"/>
    <w:rsid w:val="00B036EC"/>
    <w:rsid w:val="00B0451E"/>
    <w:rsid w:val="00B06E22"/>
    <w:rsid w:val="00B166E9"/>
    <w:rsid w:val="00B503D4"/>
    <w:rsid w:val="00B55809"/>
    <w:rsid w:val="00B60CC2"/>
    <w:rsid w:val="00B7032C"/>
    <w:rsid w:val="00B72989"/>
    <w:rsid w:val="00B853BE"/>
    <w:rsid w:val="00B90075"/>
    <w:rsid w:val="00B9044F"/>
    <w:rsid w:val="00B93792"/>
    <w:rsid w:val="00B94F9E"/>
    <w:rsid w:val="00BA74E6"/>
    <w:rsid w:val="00BB6E13"/>
    <w:rsid w:val="00BB6FCB"/>
    <w:rsid w:val="00BC3029"/>
    <w:rsid w:val="00BD171F"/>
    <w:rsid w:val="00BD3EBA"/>
    <w:rsid w:val="00BD592B"/>
    <w:rsid w:val="00BD62AE"/>
    <w:rsid w:val="00BD686F"/>
    <w:rsid w:val="00BF7370"/>
    <w:rsid w:val="00C0047E"/>
    <w:rsid w:val="00C1162A"/>
    <w:rsid w:val="00C11FE2"/>
    <w:rsid w:val="00C16926"/>
    <w:rsid w:val="00C226E9"/>
    <w:rsid w:val="00C22BA4"/>
    <w:rsid w:val="00C2444B"/>
    <w:rsid w:val="00C306AE"/>
    <w:rsid w:val="00C32BA8"/>
    <w:rsid w:val="00C33D1F"/>
    <w:rsid w:val="00C52EBB"/>
    <w:rsid w:val="00C56F4F"/>
    <w:rsid w:val="00C613F6"/>
    <w:rsid w:val="00C629EE"/>
    <w:rsid w:val="00C6465E"/>
    <w:rsid w:val="00C64AB4"/>
    <w:rsid w:val="00C67344"/>
    <w:rsid w:val="00C73174"/>
    <w:rsid w:val="00C73E1D"/>
    <w:rsid w:val="00C75AF1"/>
    <w:rsid w:val="00C81A44"/>
    <w:rsid w:val="00C919B1"/>
    <w:rsid w:val="00C957E4"/>
    <w:rsid w:val="00CB64EB"/>
    <w:rsid w:val="00CC20CA"/>
    <w:rsid w:val="00CD2541"/>
    <w:rsid w:val="00CF46CF"/>
    <w:rsid w:val="00CF5136"/>
    <w:rsid w:val="00CF7228"/>
    <w:rsid w:val="00D0158A"/>
    <w:rsid w:val="00D178D0"/>
    <w:rsid w:val="00D44538"/>
    <w:rsid w:val="00D469C2"/>
    <w:rsid w:val="00D525FB"/>
    <w:rsid w:val="00D54A46"/>
    <w:rsid w:val="00D5625C"/>
    <w:rsid w:val="00D56A1E"/>
    <w:rsid w:val="00D578D5"/>
    <w:rsid w:val="00D57B99"/>
    <w:rsid w:val="00D61972"/>
    <w:rsid w:val="00D7305E"/>
    <w:rsid w:val="00D74775"/>
    <w:rsid w:val="00D75180"/>
    <w:rsid w:val="00D94CEA"/>
    <w:rsid w:val="00D9557D"/>
    <w:rsid w:val="00DB1916"/>
    <w:rsid w:val="00DC46CE"/>
    <w:rsid w:val="00DC78F3"/>
    <w:rsid w:val="00DD0BC3"/>
    <w:rsid w:val="00DD33CA"/>
    <w:rsid w:val="00DE2D1D"/>
    <w:rsid w:val="00DF0BA2"/>
    <w:rsid w:val="00DF297A"/>
    <w:rsid w:val="00E02DB7"/>
    <w:rsid w:val="00E04861"/>
    <w:rsid w:val="00E0539D"/>
    <w:rsid w:val="00E20C12"/>
    <w:rsid w:val="00E21D10"/>
    <w:rsid w:val="00E2598E"/>
    <w:rsid w:val="00E26032"/>
    <w:rsid w:val="00E351F1"/>
    <w:rsid w:val="00E44867"/>
    <w:rsid w:val="00E45733"/>
    <w:rsid w:val="00E519CC"/>
    <w:rsid w:val="00E55F8E"/>
    <w:rsid w:val="00E5666D"/>
    <w:rsid w:val="00E64FDD"/>
    <w:rsid w:val="00E705D0"/>
    <w:rsid w:val="00E84C86"/>
    <w:rsid w:val="00E85F5D"/>
    <w:rsid w:val="00E931D7"/>
    <w:rsid w:val="00EB4103"/>
    <w:rsid w:val="00EB6E86"/>
    <w:rsid w:val="00EB74B6"/>
    <w:rsid w:val="00ED7E2A"/>
    <w:rsid w:val="00EE30F5"/>
    <w:rsid w:val="00EF2CAA"/>
    <w:rsid w:val="00F0077A"/>
    <w:rsid w:val="00F05586"/>
    <w:rsid w:val="00F06B5E"/>
    <w:rsid w:val="00F117DD"/>
    <w:rsid w:val="00F128D1"/>
    <w:rsid w:val="00F477FE"/>
    <w:rsid w:val="00F47FEA"/>
    <w:rsid w:val="00F549C9"/>
    <w:rsid w:val="00F75A06"/>
    <w:rsid w:val="00F76E6D"/>
    <w:rsid w:val="00F83D81"/>
    <w:rsid w:val="00F86510"/>
    <w:rsid w:val="00F87AC3"/>
    <w:rsid w:val="00F9541F"/>
    <w:rsid w:val="00F95459"/>
    <w:rsid w:val="00FB0F0C"/>
    <w:rsid w:val="00FB6892"/>
    <w:rsid w:val="00FB71B9"/>
    <w:rsid w:val="00FC7017"/>
    <w:rsid w:val="00FD058B"/>
    <w:rsid w:val="00FD324D"/>
    <w:rsid w:val="00FD6135"/>
    <w:rsid w:val="00FD7BC3"/>
    <w:rsid w:val="00FE0E3B"/>
    <w:rsid w:val="00FE7454"/>
    <w:rsid w:val="00FF497A"/>
    <w:rsid w:val="00FF7BBE"/>
    <w:rsid w:val="01064C9A"/>
    <w:rsid w:val="01363D22"/>
    <w:rsid w:val="01AE46A7"/>
    <w:rsid w:val="01CC322C"/>
    <w:rsid w:val="01CD7566"/>
    <w:rsid w:val="02841D5F"/>
    <w:rsid w:val="028F4024"/>
    <w:rsid w:val="02BD1C63"/>
    <w:rsid w:val="02F96B99"/>
    <w:rsid w:val="0343465A"/>
    <w:rsid w:val="04C42C79"/>
    <w:rsid w:val="05D90BCF"/>
    <w:rsid w:val="063F234A"/>
    <w:rsid w:val="07A85E1F"/>
    <w:rsid w:val="07B436A2"/>
    <w:rsid w:val="081828F3"/>
    <w:rsid w:val="084C05F0"/>
    <w:rsid w:val="08EE1683"/>
    <w:rsid w:val="09F158A1"/>
    <w:rsid w:val="09F45FD8"/>
    <w:rsid w:val="0B3705F5"/>
    <w:rsid w:val="0D334492"/>
    <w:rsid w:val="0E4E3CC4"/>
    <w:rsid w:val="111C1E15"/>
    <w:rsid w:val="11CA22AB"/>
    <w:rsid w:val="11E903EC"/>
    <w:rsid w:val="11EF2DD1"/>
    <w:rsid w:val="12D320C6"/>
    <w:rsid w:val="13B973F3"/>
    <w:rsid w:val="13D33268"/>
    <w:rsid w:val="13EF4FB1"/>
    <w:rsid w:val="14B940A6"/>
    <w:rsid w:val="14CF7021"/>
    <w:rsid w:val="153B333A"/>
    <w:rsid w:val="17893351"/>
    <w:rsid w:val="182300F4"/>
    <w:rsid w:val="186F3841"/>
    <w:rsid w:val="19E332BC"/>
    <w:rsid w:val="1A4A24DA"/>
    <w:rsid w:val="1B3102C0"/>
    <w:rsid w:val="1B530684"/>
    <w:rsid w:val="1C85702E"/>
    <w:rsid w:val="1CCA1E89"/>
    <w:rsid w:val="1D5F05E1"/>
    <w:rsid w:val="1D8951CF"/>
    <w:rsid w:val="1DBF04B2"/>
    <w:rsid w:val="1E122A78"/>
    <w:rsid w:val="1E2C1EDD"/>
    <w:rsid w:val="1E6F1F69"/>
    <w:rsid w:val="1E9643F5"/>
    <w:rsid w:val="1FAB2A10"/>
    <w:rsid w:val="20380BA3"/>
    <w:rsid w:val="207D68B3"/>
    <w:rsid w:val="222B4109"/>
    <w:rsid w:val="229110E9"/>
    <w:rsid w:val="22961CEB"/>
    <w:rsid w:val="24305A06"/>
    <w:rsid w:val="24566B2A"/>
    <w:rsid w:val="246217CD"/>
    <w:rsid w:val="24DB2DAA"/>
    <w:rsid w:val="253F4153"/>
    <w:rsid w:val="25D97F3F"/>
    <w:rsid w:val="2677791D"/>
    <w:rsid w:val="27351CB2"/>
    <w:rsid w:val="27830295"/>
    <w:rsid w:val="27B310A4"/>
    <w:rsid w:val="2A5A5C17"/>
    <w:rsid w:val="2A78413E"/>
    <w:rsid w:val="2D0614D1"/>
    <w:rsid w:val="2DF83A39"/>
    <w:rsid w:val="30712352"/>
    <w:rsid w:val="30BA33E0"/>
    <w:rsid w:val="310224D9"/>
    <w:rsid w:val="311462BB"/>
    <w:rsid w:val="3162511D"/>
    <w:rsid w:val="317E08B9"/>
    <w:rsid w:val="319778A7"/>
    <w:rsid w:val="31C10830"/>
    <w:rsid w:val="33D40A0F"/>
    <w:rsid w:val="33D77511"/>
    <w:rsid w:val="3482708D"/>
    <w:rsid w:val="353405A8"/>
    <w:rsid w:val="35914A04"/>
    <w:rsid w:val="35B2616F"/>
    <w:rsid w:val="36701D15"/>
    <w:rsid w:val="376B7006"/>
    <w:rsid w:val="37F43F29"/>
    <w:rsid w:val="386F0FF7"/>
    <w:rsid w:val="38C867DB"/>
    <w:rsid w:val="3ADD4291"/>
    <w:rsid w:val="3B744F0B"/>
    <w:rsid w:val="3BBF7944"/>
    <w:rsid w:val="3BF71E95"/>
    <w:rsid w:val="3C8477F5"/>
    <w:rsid w:val="3CB35141"/>
    <w:rsid w:val="3E1F3B7C"/>
    <w:rsid w:val="3FA354B3"/>
    <w:rsid w:val="40BC4452"/>
    <w:rsid w:val="413E3A45"/>
    <w:rsid w:val="414E2B61"/>
    <w:rsid w:val="4179158F"/>
    <w:rsid w:val="417E361C"/>
    <w:rsid w:val="41E87E5E"/>
    <w:rsid w:val="42892D86"/>
    <w:rsid w:val="42CE4911"/>
    <w:rsid w:val="433026EB"/>
    <w:rsid w:val="464822A6"/>
    <w:rsid w:val="46D5128C"/>
    <w:rsid w:val="4758610F"/>
    <w:rsid w:val="483416BA"/>
    <w:rsid w:val="48371AF4"/>
    <w:rsid w:val="488717E9"/>
    <w:rsid w:val="48B801FE"/>
    <w:rsid w:val="4AAC4804"/>
    <w:rsid w:val="4B533C05"/>
    <w:rsid w:val="4B855905"/>
    <w:rsid w:val="4B9359B3"/>
    <w:rsid w:val="4B9C00E2"/>
    <w:rsid w:val="4BA97CC9"/>
    <w:rsid w:val="4C774449"/>
    <w:rsid w:val="4D65545D"/>
    <w:rsid w:val="4F9E387E"/>
    <w:rsid w:val="4FE470AF"/>
    <w:rsid w:val="4FF0726C"/>
    <w:rsid w:val="500B7775"/>
    <w:rsid w:val="507340C9"/>
    <w:rsid w:val="50C80BF1"/>
    <w:rsid w:val="50CC1F12"/>
    <w:rsid w:val="51505381"/>
    <w:rsid w:val="52017848"/>
    <w:rsid w:val="52414AD8"/>
    <w:rsid w:val="52DB0546"/>
    <w:rsid w:val="52E90DEF"/>
    <w:rsid w:val="53286401"/>
    <w:rsid w:val="543657B5"/>
    <w:rsid w:val="54BA5721"/>
    <w:rsid w:val="55E142B4"/>
    <w:rsid w:val="56803B9D"/>
    <w:rsid w:val="58C11A14"/>
    <w:rsid w:val="592208C7"/>
    <w:rsid w:val="59325E2B"/>
    <w:rsid w:val="596B2426"/>
    <w:rsid w:val="59747B68"/>
    <w:rsid w:val="5A992449"/>
    <w:rsid w:val="5B85629F"/>
    <w:rsid w:val="5CEA03B0"/>
    <w:rsid w:val="5D0837C2"/>
    <w:rsid w:val="5D1434CC"/>
    <w:rsid w:val="5E39661B"/>
    <w:rsid w:val="5E995FE6"/>
    <w:rsid w:val="5EDE1DB3"/>
    <w:rsid w:val="5EE04FB0"/>
    <w:rsid w:val="5F012C7A"/>
    <w:rsid w:val="5F665A51"/>
    <w:rsid w:val="60421A77"/>
    <w:rsid w:val="613458A0"/>
    <w:rsid w:val="615D2CD1"/>
    <w:rsid w:val="628705F6"/>
    <w:rsid w:val="62CD69D5"/>
    <w:rsid w:val="62DE42A4"/>
    <w:rsid w:val="64502F80"/>
    <w:rsid w:val="64543181"/>
    <w:rsid w:val="650224CC"/>
    <w:rsid w:val="65A231A0"/>
    <w:rsid w:val="67264215"/>
    <w:rsid w:val="677724BB"/>
    <w:rsid w:val="6828080C"/>
    <w:rsid w:val="687A7171"/>
    <w:rsid w:val="693D0E23"/>
    <w:rsid w:val="6AE22559"/>
    <w:rsid w:val="6AF67151"/>
    <w:rsid w:val="6B792DBC"/>
    <w:rsid w:val="6C0E25B7"/>
    <w:rsid w:val="6D3B2FB0"/>
    <w:rsid w:val="6D40728C"/>
    <w:rsid w:val="6E7F3441"/>
    <w:rsid w:val="6EAF1824"/>
    <w:rsid w:val="6EE5380A"/>
    <w:rsid w:val="6FE078AE"/>
    <w:rsid w:val="706E40D1"/>
    <w:rsid w:val="70DA749F"/>
    <w:rsid w:val="71C43C31"/>
    <w:rsid w:val="72D61D48"/>
    <w:rsid w:val="72DB3566"/>
    <w:rsid w:val="7322071B"/>
    <w:rsid w:val="74A344B3"/>
    <w:rsid w:val="74F457F1"/>
    <w:rsid w:val="75074CC1"/>
    <w:rsid w:val="757D201A"/>
    <w:rsid w:val="76171EA7"/>
    <w:rsid w:val="77E24114"/>
    <w:rsid w:val="78356FF1"/>
    <w:rsid w:val="78FC0442"/>
    <w:rsid w:val="7900220D"/>
    <w:rsid w:val="79CB4E9A"/>
    <w:rsid w:val="79D00489"/>
    <w:rsid w:val="7AA73149"/>
    <w:rsid w:val="7AAB3CED"/>
    <w:rsid w:val="7B6664FE"/>
    <w:rsid w:val="7C403164"/>
    <w:rsid w:val="7CA57ACE"/>
    <w:rsid w:val="7D1525BF"/>
    <w:rsid w:val="7DF92C37"/>
    <w:rsid w:val="7EBC3294"/>
    <w:rsid w:val="7F2350C1"/>
    <w:rsid w:val="7FF63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52" w:firstLineChars="200"/>
      <w:jc w:val="both"/>
    </w:pPr>
    <w:rPr>
      <w:rFonts w:ascii="Times New Roman" w:hAnsi="Times New Roman" w:eastAsia="仿宋" w:cs="Times New Roman"/>
      <w:color w:val="000000"/>
      <w:sz w:val="32"/>
      <w:lang w:val="en-US" w:eastAsia="zh-CN" w:bidi="ar-SA"/>
    </w:rPr>
  </w:style>
  <w:style w:type="paragraph" w:styleId="2">
    <w:name w:val="heading 1"/>
    <w:basedOn w:val="1"/>
    <w:next w:val="1"/>
    <w:link w:val="46"/>
    <w:qFormat/>
    <w:uiPriority w:val="0"/>
    <w:pPr>
      <w:keepNext/>
      <w:keepLines/>
      <w:outlineLvl w:val="0"/>
    </w:pPr>
    <w:rPr>
      <w:rFonts w:eastAsia="黑体"/>
      <w:b/>
      <w:kern w:val="44"/>
    </w:rPr>
  </w:style>
  <w:style w:type="paragraph" w:styleId="3">
    <w:name w:val="heading 2"/>
    <w:basedOn w:val="1"/>
    <w:next w:val="1"/>
    <w:unhideWhenUsed/>
    <w:qFormat/>
    <w:uiPriority w:val="0"/>
    <w:pPr>
      <w:keepNext/>
      <w:keepLines/>
      <w:spacing w:beforeLines="50"/>
      <w:outlineLvl w:val="1"/>
    </w:pPr>
    <w:rPr>
      <w:rFonts w:ascii="Arial" w:hAnsi="Arial"/>
      <w:b/>
    </w:rPr>
  </w:style>
  <w:style w:type="paragraph" w:styleId="4">
    <w:name w:val="heading 3"/>
    <w:basedOn w:val="1"/>
    <w:next w:val="1"/>
    <w:link w:val="35"/>
    <w:unhideWhenUsed/>
    <w:qFormat/>
    <w:uiPriority w:val="0"/>
    <w:pPr>
      <w:keepNext/>
      <w:keepLines/>
      <w:spacing w:before="200"/>
      <w:outlineLvl w:val="2"/>
    </w:p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b/>
      <w:bCs/>
      <w:sz w:val="24"/>
      <w:szCs w:val="24"/>
    </w:rPr>
  </w:style>
  <w:style w:type="paragraph" w:styleId="6">
    <w:name w:val="heading 5"/>
    <w:basedOn w:val="1"/>
    <w:next w:val="1"/>
    <w:link w:val="36"/>
    <w:unhideWhenUsed/>
    <w:qFormat/>
    <w:uiPriority w:val="0"/>
    <w:pPr>
      <w:adjustRightInd w:val="0"/>
      <w:snapToGrid w:val="0"/>
      <w:spacing w:line="240" w:lineRule="auto"/>
      <w:ind w:firstLine="0" w:firstLineChars="0"/>
      <w:jc w:val="center"/>
      <w:outlineLvl w:val="4"/>
    </w:pPr>
    <w:rPr>
      <w:rFonts w:eastAsia="方正黑体_GBK"/>
      <w:b/>
      <w:color w:val="auto"/>
      <w:kern w:val="2"/>
      <w:sz w:val="28"/>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semiHidden/>
    <w:unhideWhenUsed/>
    <w:qFormat/>
    <w:uiPriority w:val="0"/>
    <w:pPr>
      <w:snapToGrid w:val="0"/>
      <w:spacing w:line="590" w:lineRule="exact"/>
      <w:ind w:firstLine="0" w:firstLineChars="0"/>
      <w:jc w:val="center"/>
    </w:pPr>
    <w:rPr>
      <w:rFonts w:ascii="Arial" w:hAnsi="Arial" w:eastAsia="方正仿宋_GBK"/>
      <w:color w:val="auto"/>
      <w:kern w:val="2"/>
      <w:sz w:val="28"/>
      <w:szCs w:val="24"/>
    </w:rPr>
  </w:style>
  <w:style w:type="paragraph" w:styleId="8">
    <w:name w:val="annotation text"/>
    <w:basedOn w:val="1"/>
    <w:link w:val="38"/>
    <w:unhideWhenUsed/>
    <w:qFormat/>
    <w:uiPriority w:val="99"/>
    <w:pPr>
      <w:snapToGrid w:val="0"/>
      <w:spacing w:line="590" w:lineRule="exact"/>
      <w:ind w:firstLine="883"/>
    </w:pPr>
    <w:rPr>
      <w:rFonts w:eastAsia="方正仿宋_GBK"/>
      <w:color w:val="auto"/>
      <w:kern w:val="2"/>
      <w:szCs w:val="24"/>
    </w:rPr>
  </w:style>
  <w:style w:type="paragraph" w:styleId="9">
    <w:name w:val="Body Text"/>
    <w:basedOn w:val="1"/>
    <w:next w:val="1"/>
    <w:link w:val="37"/>
    <w:unhideWhenUsed/>
    <w:qFormat/>
    <w:uiPriority w:val="99"/>
    <w:pPr>
      <w:snapToGrid w:val="0"/>
      <w:spacing w:after="120" w:line="288" w:lineRule="auto"/>
      <w:ind w:firstLine="883"/>
      <w:jc w:val="center"/>
    </w:pPr>
    <w:rPr>
      <w:b/>
      <w:color w:val="auto"/>
      <w:kern w:val="2"/>
      <w:szCs w:val="24"/>
    </w:rPr>
  </w:style>
  <w:style w:type="paragraph" w:styleId="10">
    <w:name w:val="Body Text Indent"/>
    <w:basedOn w:val="1"/>
    <w:link w:val="39"/>
    <w:qFormat/>
    <w:uiPriority w:val="99"/>
    <w:pPr>
      <w:snapToGrid w:val="0"/>
      <w:spacing w:after="120" w:line="590" w:lineRule="exact"/>
      <w:ind w:left="420" w:leftChars="200" w:firstLine="883"/>
    </w:pPr>
    <w:rPr>
      <w:rFonts w:eastAsia="方正仿宋_GBK"/>
      <w:color w:val="auto"/>
      <w:kern w:val="2"/>
      <w:szCs w:val="24"/>
    </w:rPr>
  </w:style>
  <w:style w:type="paragraph" w:styleId="11">
    <w:name w:val="toc 3"/>
    <w:basedOn w:val="1"/>
    <w:next w:val="1"/>
    <w:qFormat/>
    <w:uiPriority w:val="39"/>
    <w:pPr>
      <w:spacing w:line="240" w:lineRule="auto"/>
      <w:ind w:left="840" w:leftChars="400"/>
    </w:pPr>
    <w:rPr>
      <w:rFonts w:eastAsia="宋体"/>
      <w:sz w:val="28"/>
    </w:rPr>
  </w:style>
  <w:style w:type="paragraph" w:styleId="12">
    <w:name w:val="Balloon Text"/>
    <w:basedOn w:val="1"/>
    <w:link w:val="40"/>
    <w:unhideWhenUsed/>
    <w:qFormat/>
    <w:uiPriority w:val="99"/>
    <w:pPr>
      <w:snapToGrid w:val="0"/>
      <w:spacing w:line="590" w:lineRule="exact"/>
      <w:ind w:firstLine="640"/>
    </w:pPr>
    <w:rPr>
      <w:rFonts w:eastAsia="方正仿宋_GBK"/>
      <w:color w:val="auto"/>
      <w:kern w:val="2"/>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39"/>
  </w:style>
  <w:style w:type="paragraph" w:styleId="16">
    <w:name w:val="Subtitle"/>
    <w:basedOn w:val="1"/>
    <w:next w:val="1"/>
    <w:link w:val="41"/>
    <w:qFormat/>
    <w:uiPriority w:val="0"/>
    <w:pPr>
      <w:snapToGrid w:val="0"/>
      <w:spacing w:before="240" w:after="60" w:line="312" w:lineRule="auto"/>
      <w:ind w:firstLine="883"/>
      <w:outlineLvl w:val="1"/>
    </w:pPr>
    <w:rPr>
      <w:rFonts w:hAnsi="Cambria" w:eastAsia="等线 Light"/>
      <w:b/>
      <w:bCs/>
      <w:color w:val="auto"/>
      <w:kern w:val="28"/>
      <w:sz w:val="28"/>
      <w:szCs w:val="24"/>
    </w:rPr>
  </w:style>
  <w:style w:type="paragraph" w:styleId="17">
    <w:name w:val="footnote text"/>
    <w:basedOn w:val="1"/>
    <w:link w:val="42"/>
    <w:qFormat/>
    <w:uiPriority w:val="0"/>
    <w:pPr>
      <w:snapToGrid w:val="0"/>
      <w:spacing w:line="590" w:lineRule="exact"/>
      <w:ind w:firstLine="883"/>
      <w:jc w:val="left"/>
    </w:pPr>
    <w:rPr>
      <w:rFonts w:eastAsia="仿宋_GB2312"/>
      <w:color w:val="auto"/>
      <w:kern w:val="2"/>
      <w:sz w:val="18"/>
      <w:szCs w:val="18"/>
    </w:rPr>
  </w:style>
  <w:style w:type="paragraph" w:styleId="18">
    <w:name w:val="toc 2"/>
    <w:basedOn w:val="1"/>
    <w:next w:val="1"/>
    <w:qFormat/>
    <w:uiPriority w:val="39"/>
    <w:pPr>
      <w:ind w:left="420" w:leftChars="200"/>
    </w:pPr>
  </w:style>
  <w:style w:type="paragraph" w:styleId="19">
    <w:name w:val="Normal (Web)"/>
    <w:basedOn w:val="1"/>
    <w:qFormat/>
    <w:uiPriority w:val="0"/>
    <w:pPr>
      <w:snapToGrid w:val="0"/>
      <w:spacing w:beforeAutospacing="1" w:afterAutospacing="1" w:line="590" w:lineRule="exact"/>
      <w:ind w:firstLine="883"/>
      <w:jc w:val="left"/>
    </w:pPr>
    <w:rPr>
      <w:rFonts w:eastAsia="方正仿宋_GBK"/>
      <w:color w:val="auto"/>
      <w:sz w:val="24"/>
      <w:szCs w:val="24"/>
    </w:rPr>
  </w:style>
  <w:style w:type="paragraph" w:styleId="20">
    <w:name w:val="Title"/>
    <w:basedOn w:val="1"/>
    <w:next w:val="1"/>
    <w:link w:val="43"/>
    <w:qFormat/>
    <w:uiPriority w:val="0"/>
    <w:pPr>
      <w:snapToGrid w:val="0"/>
      <w:spacing w:line="590" w:lineRule="exact"/>
      <w:ind w:left="640" w:leftChars="200" w:firstLine="883"/>
      <w:outlineLvl w:val="0"/>
    </w:pPr>
    <w:rPr>
      <w:rFonts w:ascii="Arial" w:hAnsi="Arial" w:eastAsia="仿宋_GB2312"/>
      <w:b/>
      <w:color w:val="auto"/>
      <w:kern w:val="2"/>
      <w:szCs w:val="24"/>
    </w:rPr>
  </w:style>
  <w:style w:type="paragraph" w:styleId="21">
    <w:name w:val="Body Text First Indent 2"/>
    <w:basedOn w:val="10"/>
    <w:link w:val="44"/>
    <w:qFormat/>
    <w:uiPriority w:val="99"/>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Emphasis"/>
    <w:basedOn w:val="24"/>
    <w:qFormat/>
    <w:uiPriority w:val="0"/>
    <w:rPr>
      <w:i/>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footnote reference"/>
    <w:qFormat/>
    <w:uiPriority w:val="0"/>
    <w:rPr>
      <w:vertAlign w:val="superscript"/>
    </w:rPr>
  </w:style>
  <w:style w:type="paragraph" w:customStyle="1" w:styleId="29">
    <w:name w:val="表格"/>
    <w:basedOn w:val="1"/>
    <w:qFormat/>
    <w:uiPriority w:val="0"/>
    <w:pPr>
      <w:spacing w:line="240" w:lineRule="auto"/>
      <w:ind w:firstLine="0" w:firstLineChars="0"/>
      <w:jc w:val="center"/>
    </w:pPr>
    <w:rPr>
      <w:rFonts w:hint="eastAsia"/>
      <w:sz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3">
    <w:name w:val="样式1"/>
    <w:basedOn w:val="1"/>
    <w:qFormat/>
    <w:uiPriority w:val="0"/>
    <w:pPr>
      <w:autoSpaceDE w:val="0"/>
      <w:autoSpaceDN w:val="0"/>
      <w:snapToGrid w:val="0"/>
      <w:spacing w:line="240" w:lineRule="auto"/>
      <w:ind w:firstLine="0" w:firstLineChars="0"/>
      <w:jc w:val="center"/>
    </w:pPr>
    <w:rPr>
      <w:rFonts w:hint="eastAsia" w:ascii="仿宋" w:hAnsi="仿宋" w:cs="仿宋"/>
      <w:sz w:val="22"/>
    </w:rPr>
  </w:style>
  <w:style w:type="paragraph" w:customStyle="1" w:styleId="34">
    <w:name w:val="修订1"/>
    <w:hidden/>
    <w:unhideWhenUsed/>
    <w:qFormat/>
    <w:uiPriority w:val="99"/>
    <w:rPr>
      <w:rFonts w:ascii="Times New Roman" w:hAnsi="Times New Roman" w:eastAsia="仿宋" w:cs="Times New Roman"/>
      <w:color w:val="000000"/>
      <w:sz w:val="32"/>
      <w:lang w:val="en-US" w:eastAsia="zh-CN" w:bidi="ar-SA"/>
    </w:rPr>
  </w:style>
  <w:style w:type="character" w:customStyle="1" w:styleId="35">
    <w:name w:val="标题 3 Char"/>
    <w:link w:val="4"/>
    <w:qFormat/>
    <w:uiPriority w:val="0"/>
  </w:style>
  <w:style w:type="character" w:customStyle="1" w:styleId="36">
    <w:name w:val="标题 5 Char"/>
    <w:basedOn w:val="24"/>
    <w:link w:val="6"/>
    <w:qFormat/>
    <w:uiPriority w:val="0"/>
    <w:rPr>
      <w:rFonts w:eastAsia="方正黑体_GBK"/>
      <w:b/>
      <w:kern w:val="2"/>
      <w:sz w:val="28"/>
      <w:szCs w:val="24"/>
    </w:rPr>
  </w:style>
  <w:style w:type="character" w:customStyle="1" w:styleId="37">
    <w:name w:val="正文文本 Char"/>
    <w:basedOn w:val="24"/>
    <w:link w:val="9"/>
    <w:qFormat/>
    <w:uiPriority w:val="99"/>
    <w:rPr>
      <w:rFonts w:eastAsia="仿宋"/>
      <w:b/>
      <w:kern w:val="2"/>
      <w:sz w:val="32"/>
      <w:szCs w:val="24"/>
    </w:rPr>
  </w:style>
  <w:style w:type="character" w:customStyle="1" w:styleId="38">
    <w:name w:val="批注文字 Char"/>
    <w:basedOn w:val="24"/>
    <w:link w:val="8"/>
    <w:qFormat/>
    <w:uiPriority w:val="99"/>
    <w:rPr>
      <w:rFonts w:eastAsia="方正仿宋_GBK"/>
      <w:kern w:val="2"/>
      <w:sz w:val="32"/>
      <w:szCs w:val="24"/>
    </w:rPr>
  </w:style>
  <w:style w:type="character" w:customStyle="1" w:styleId="39">
    <w:name w:val="正文文本缩进 Char"/>
    <w:basedOn w:val="24"/>
    <w:link w:val="10"/>
    <w:qFormat/>
    <w:uiPriority w:val="99"/>
    <w:rPr>
      <w:rFonts w:eastAsia="方正仿宋_GBK"/>
      <w:kern w:val="2"/>
      <w:sz w:val="32"/>
      <w:szCs w:val="24"/>
    </w:rPr>
  </w:style>
  <w:style w:type="character" w:customStyle="1" w:styleId="40">
    <w:name w:val="批注框文本 Char"/>
    <w:basedOn w:val="24"/>
    <w:link w:val="12"/>
    <w:qFormat/>
    <w:uiPriority w:val="99"/>
    <w:rPr>
      <w:rFonts w:eastAsia="方正仿宋_GBK"/>
      <w:kern w:val="2"/>
      <w:sz w:val="32"/>
      <w:szCs w:val="18"/>
    </w:rPr>
  </w:style>
  <w:style w:type="character" w:customStyle="1" w:styleId="41">
    <w:name w:val="副标题 Char"/>
    <w:basedOn w:val="24"/>
    <w:link w:val="16"/>
    <w:qFormat/>
    <w:uiPriority w:val="0"/>
    <w:rPr>
      <w:rFonts w:hAnsi="Cambria" w:eastAsia="等线 Light"/>
      <w:b/>
      <w:bCs/>
      <w:kern w:val="28"/>
      <w:sz w:val="28"/>
      <w:szCs w:val="24"/>
    </w:rPr>
  </w:style>
  <w:style w:type="character" w:customStyle="1" w:styleId="42">
    <w:name w:val="脚注文本 Char"/>
    <w:basedOn w:val="24"/>
    <w:link w:val="17"/>
    <w:qFormat/>
    <w:uiPriority w:val="0"/>
    <w:rPr>
      <w:rFonts w:eastAsia="仿宋_GB2312"/>
      <w:kern w:val="2"/>
      <w:sz w:val="18"/>
      <w:szCs w:val="18"/>
    </w:rPr>
  </w:style>
  <w:style w:type="character" w:customStyle="1" w:styleId="43">
    <w:name w:val="标题 Char"/>
    <w:basedOn w:val="24"/>
    <w:link w:val="20"/>
    <w:qFormat/>
    <w:uiPriority w:val="0"/>
    <w:rPr>
      <w:rFonts w:ascii="Arial" w:hAnsi="Arial" w:eastAsia="仿宋_GB2312"/>
      <w:b/>
      <w:kern w:val="2"/>
      <w:sz w:val="32"/>
      <w:szCs w:val="24"/>
    </w:rPr>
  </w:style>
  <w:style w:type="character" w:customStyle="1" w:styleId="44">
    <w:name w:val="正文首行缩进 2 Char"/>
    <w:basedOn w:val="39"/>
    <w:link w:val="21"/>
    <w:qFormat/>
    <w:uiPriority w:val="99"/>
    <w:rPr>
      <w:rFonts w:eastAsia="方正仿宋_GBK"/>
      <w:kern w:val="2"/>
      <w:sz w:val="32"/>
      <w:szCs w:val="24"/>
    </w:rPr>
  </w:style>
  <w:style w:type="paragraph" w:customStyle="1" w:styleId="45">
    <w:name w:val="绩效报告-正文"/>
    <w:basedOn w:val="1"/>
    <w:qFormat/>
    <w:uiPriority w:val="0"/>
    <w:pPr>
      <w:snapToGrid w:val="0"/>
      <w:spacing w:line="560" w:lineRule="exact"/>
      <w:ind w:firstLine="640"/>
    </w:pPr>
    <w:rPr>
      <w:rFonts w:eastAsia="方正仿宋_GBK"/>
      <w:color w:val="auto"/>
      <w:kern w:val="2"/>
      <w:szCs w:val="22"/>
    </w:rPr>
  </w:style>
  <w:style w:type="character" w:customStyle="1" w:styleId="46">
    <w:name w:val="标题 1 Char"/>
    <w:basedOn w:val="24"/>
    <w:link w:val="2"/>
    <w:qFormat/>
    <w:locked/>
    <w:uiPriority w:val="99"/>
    <w:rPr>
      <w:rFonts w:eastAsia="黑体"/>
      <w:b/>
      <w:color w:val="000000"/>
      <w:kern w:val="44"/>
      <w:sz w:val="32"/>
    </w:rPr>
  </w:style>
  <w:style w:type="paragraph" w:customStyle="1" w:styleId="47">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48">
    <w:name w:val="闻政正文"/>
    <w:basedOn w:val="1"/>
    <w:link w:val="58"/>
    <w:qFormat/>
    <w:uiPriority w:val="0"/>
    <w:pPr>
      <w:snapToGrid w:val="0"/>
      <w:spacing w:line="500" w:lineRule="exact"/>
      <w:ind w:firstLine="200"/>
    </w:pPr>
    <w:rPr>
      <w:rFonts w:eastAsia="仿宋_GB2312"/>
      <w:color w:val="auto"/>
      <w:sz w:val="28"/>
      <w:szCs w:val="28"/>
      <w:lang w:val="zh-CN"/>
    </w:rPr>
  </w:style>
  <w:style w:type="paragraph" w:customStyle="1" w:styleId="49">
    <w:name w:val="闻政页码"/>
    <w:qFormat/>
    <w:uiPriority w:val="99"/>
    <w:pPr>
      <w:jc w:val="center"/>
    </w:pPr>
    <w:rPr>
      <w:rFonts w:ascii="Times New Roman" w:hAnsi="Times New Roman" w:eastAsia="宋体" w:cs="Times New Roman"/>
      <w:sz w:val="21"/>
      <w:szCs w:val="28"/>
      <w:lang w:val="en-US" w:eastAsia="zh-CN" w:bidi="ar-SA"/>
    </w:rPr>
  </w:style>
  <w:style w:type="paragraph" w:customStyle="1" w:styleId="50">
    <w:name w:val="闻政封面项目信息"/>
    <w:basedOn w:val="1"/>
    <w:next w:val="51"/>
    <w:qFormat/>
    <w:uiPriority w:val="99"/>
    <w:pPr>
      <w:snapToGrid w:val="0"/>
      <w:spacing w:before="120" w:line="590" w:lineRule="exact"/>
      <w:ind w:left="800" w:leftChars="800" w:firstLine="883"/>
      <w:jc w:val="left"/>
    </w:pPr>
    <w:rPr>
      <w:rFonts w:eastAsia="黑体"/>
      <w:color w:val="auto"/>
      <w:sz w:val="28"/>
      <w:szCs w:val="28"/>
      <w:lang w:val="zh-CN"/>
    </w:rPr>
  </w:style>
  <w:style w:type="paragraph" w:customStyle="1" w:styleId="51">
    <w:name w:val="闻政封面完成时间"/>
    <w:basedOn w:val="50"/>
    <w:qFormat/>
    <w:uiPriority w:val="99"/>
    <w:pPr>
      <w:ind w:left="0" w:leftChars="0"/>
      <w:jc w:val="center"/>
    </w:pPr>
    <w:rPr>
      <w:b/>
    </w:rPr>
  </w:style>
  <w:style w:type="character" w:customStyle="1" w:styleId="52">
    <w:name w:val="font41"/>
    <w:basedOn w:val="24"/>
    <w:qFormat/>
    <w:uiPriority w:val="0"/>
    <w:rPr>
      <w:rFonts w:hint="default" w:ascii="MingLiU" w:hAnsi="MingLiU" w:eastAsia="MingLiU" w:cs="MingLiU"/>
      <w:color w:val="000000"/>
      <w:sz w:val="22"/>
      <w:szCs w:val="22"/>
      <w:u w:val="none"/>
    </w:rPr>
  </w:style>
  <w:style w:type="character" w:customStyle="1" w:styleId="53">
    <w:name w:val="font51"/>
    <w:basedOn w:val="24"/>
    <w:qFormat/>
    <w:uiPriority w:val="0"/>
    <w:rPr>
      <w:rFonts w:hint="default" w:ascii="MingLiU" w:hAnsi="MingLiU" w:eastAsia="MingLiU" w:cs="MingLiU"/>
      <w:color w:val="000000"/>
      <w:sz w:val="22"/>
      <w:szCs w:val="22"/>
      <w:u w:val="single"/>
    </w:rPr>
  </w:style>
  <w:style w:type="character" w:customStyle="1" w:styleId="54">
    <w:name w:val="font21"/>
    <w:basedOn w:val="24"/>
    <w:qFormat/>
    <w:uiPriority w:val="0"/>
    <w:rPr>
      <w:rFonts w:hint="default" w:ascii="MingLiU" w:hAnsi="MingLiU" w:eastAsia="MingLiU" w:cs="MingLiU"/>
      <w:color w:val="000000"/>
      <w:sz w:val="18"/>
      <w:szCs w:val="18"/>
      <w:u w:val="none"/>
    </w:rPr>
  </w:style>
  <w:style w:type="character" w:customStyle="1" w:styleId="55">
    <w:name w:val="font31"/>
    <w:basedOn w:val="24"/>
    <w:qFormat/>
    <w:uiPriority w:val="0"/>
    <w:rPr>
      <w:rFonts w:hint="default" w:ascii="Arial" w:hAnsi="Arial" w:cs="Arial"/>
      <w:color w:val="000000"/>
      <w:sz w:val="16"/>
      <w:szCs w:val="16"/>
      <w:u w:val="none"/>
    </w:rPr>
  </w:style>
  <w:style w:type="character" w:customStyle="1" w:styleId="56">
    <w:name w:val="font01"/>
    <w:basedOn w:val="24"/>
    <w:qFormat/>
    <w:uiPriority w:val="0"/>
    <w:rPr>
      <w:rFonts w:hint="eastAsia" w:ascii="宋体" w:hAnsi="宋体" w:eastAsia="宋体" w:cs="宋体"/>
      <w:color w:val="000000"/>
      <w:sz w:val="16"/>
      <w:szCs w:val="16"/>
      <w:u w:val="none"/>
    </w:rPr>
  </w:style>
  <w:style w:type="paragraph" w:customStyle="1" w:styleId="57">
    <w:name w:val="闻政表文字"/>
    <w:basedOn w:val="48"/>
    <w:qFormat/>
    <w:uiPriority w:val="5"/>
    <w:pPr>
      <w:widowControl/>
      <w:spacing w:line="320" w:lineRule="exact"/>
      <w:ind w:firstLine="0" w:firstLineChars="0"/>
      <w:jc w:val="center"/>
    </w:pPr>
    <w:rPr>
      <w:rFonts w:cs="宋体"/>
      <w:bCs/>
      <w:color w:val="000000"/>
      <w:sz w:val="22"/>
      <w:szCs w:val="22"/>
    </w:rPr>
  </w:style>
  <w:style w:type="character" w:customStyle="1" w:styleId="58">
    <w:name w:val="闻政正文 Char"/>
    <w:link w:val="48"/>
    <w:qFormat/>
    <w:uiPriority w:val="0"/>
    <w:rPr>
      <w:rFonts w:eastAsia="仿宋_GB2312"/>
      <w:sz w:val="28"/>
      <w:szCs w:val="28"/>
      <w:lang w:val="zh-CN"/>
    </w:rPr>
  </w:style>
  <w:style w:type="paragraph" w:customStyle="1" w:styleId="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0">
    <w:name w:val="List Paragraph"/>
    <w:basedOn w:val="1"/>
    <w:qFormat/>
    <w:uiPriority w:val="99"/>
    <w:pPr>
      <w:snapToGrid w:val="0"/>
      <w:spacing w:line="590" w:lineRule="exact"/>
      <w:ind w:firstLine="420"/>
    </w:pPr>
    <w:rPr>
      <w:rFonts w:eastAsia="方正仿宋_GBK"/>
      <w:color w:val="auto"/>
      <w:kern w:val="2"/>
      <w:szCs w:val="24"/>
    </w:rPr>
  </w:style>
  <w:style w:type="paragraph" w:customStyle="1" w:styleId="61">
    <w:name w:val="闻政图表名"/>
    <w:basedOn w:val="1"/>
    <w:qFormat/>
    <w:uiPriority w:val="4"/>
    <w:pPr>
      <w:snapToGrid w:val="0"/>
      <w:spacing w:before="60" w:after="60" w:line="590" w:lineRule="exact"/>
      <w:ind w:firstLine="883"/>
      <w:jc w:val="center"/>
    </w:pPr>
    <w:rPr>
      <w:rFonts w:eastAsia="仿宋_GB2312"/>
      <w:b/>
      <w:color w:val="auto"/>
      <w:sz w:val="24"/>
      <w:szCs w:val="28"/>
    </w:rPr>
  </w:style>
  <w:style w:type="character" w:customStyle="1" w:styleId="62">
    <w:name w:val="fontstyle01"/>
    <w:qFormat/>
    <w:uiPriority w:val="0"/>
    <w:rPr>
      <w:rFonts w:hint="default" w:ascii="TimesNewRomanPSMT" w:hAnsi="TimesNewRomanPSMT"/>
      <w:color w:val="000000"/>
      <w:sz w:val="32"/>
      <w:szCs w:val="32"/>
    </w:rPr>
  </w:style>
  <w:style w:type="paragraph" w:customStyle="1" w:styleId="63">
    <w:name w:val="正文 A"/>
    <w:qFormat/>
    <w:uiPriority w:val="0"/>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64">
    <w:name w:val="font81"/>
    <w:basedOn w:val="24"/>
    <w:qFormat/>
    <w:uiPriority w:val="0"/>
    <w:rPr>
      <w:rFonts w:hint="eastAsia" w:ascii="仿宋" w:hAnsi="仿宋" w:eastAsia="仿宋" w:cs="仿宋"/>
      <w:color w:val="000000"/>
      <w:sz w:val="21"/>
      <w:szCs w:val="21"/>
      <w:u w:val="none"/>
    </w:rPr>
  </w:style>
  <w:style w:type="character" w:customStyle="1" w:styleId="65">
    <w:name w:val="font11"/>
    <w:basedOn w:val="24"/>
    <w:qFormat/>
    <w:uiPriority w:val="0"/>
    <w:rPr>
      <w:rFonts w:hint="eastAsia" w:ascii="仿宋" w:hAnsi="仿宋" w:eastAsia="仿宋" w:cs="仿宋"/>
      <w:color w:val="000000"/>
      <w:sz w:val="21"/>
      <w:szCs w:val="21"/>
      <w:u w:val="none"/>
    </w:rPr>
  </w:style>
  <w:style w:type="character" w:customStyle="1" w:styleId="66">
    <w:name w:val="font91"/>
    <w:basedOn w:val="24"/>
    <w:qFormat/>
    <w:uiPriority w:val="0"/>
    <w:rPr>
      <w:rFonts w:hint="default" w:ascii="Times New Roman" w:hAnsi="Times New Roman" w:cs="Times New Roman"/>
      <w:color w:val="000000"/>
      <w:sz w:val="21"/>
      <w:szCs w:val="21"/>
      <w:u w:val="none"/>
    </w:rPr>
  </w:style>
  <w:style w:type="character" w:customStyle="1" w:styleId="67">
    <w:name w:val="font61"/>
    <w:basedOn w:val="24"/>
    <w:qFormat/>
    <w:uiPriority w:val="0"/>
    <w:rPr>
      <w:rFonts w:hint="eastAsia" w:ascii="仿宋" w:hAnsi="仿宋" w:eastAsia="仿宋" w:cs="仿宋"/>
      <w:color w:val="000000"/>
      <w:sz w:val="20"/>
      <w:szCs w:val="20"/>
      <w:u w:val="none"/>
    </w:rPr>
  </w:style>
  <w:style w:type="character" w:customStyle="1" w:styleId="68">
    <w:name w:val="font112"/>
    <w:basedOn w:val="24"/>
    <w:qFormat/>
    <w:uiPriority w:val="0"/>
    <w:rPr>
      <w:rFonts w:hint="default" w:ascii="Times New Roman" w:hAnsi="Times New Roman" w:cs="Times New Roman"/>
      <w:color w:val="000000"/>
      <w:sz w:val="20"/>
      <w:szCs w:val="20"/>
      <w:u w:val="none"/>
    </w:rPr>
  </w:style>
  <w:style w:type="character" w:customStyle="1" w:styleId="69">
    <w:name w:val="font101"/>
    <w:basedOn w:val="24"/>
    <w:qFormat/>
    <w:uiPriority w:val="0"/>
    <w:rPr>
      <w:rFonts w:hint="eastAsia" w:ascii="等线" w:hAnsi="等线" w:eastAsia="等线" w:cs="等线"/>
      <w:color w:val="000000"/>
      <w:sz w:val="20"/>
      <w:szCs w:val="20"/>
      <w:u w:val="none"/>
    </w:rPr>
  </w:style>
  <w:style w:type="character" w:customStyle="1" w:styleId="70">
    <w:name w:val="font71"/>
    <w:basedOn w:val="24"/>
    <w:qFormat/>
    <w:uiPriority w:val="0"/>
    <w:rPr>
      <w:rFonts w:hint="eastAsia" w:ascii="仿宋" w:hAnsi="仿宋" w:eastAsia="仿宋" w:cs="仿宋"/>
      <w:color w:val="000000"/>
      <w:sz w:val="21"/>
      <w:szCs w:val="21"/>
      <w:u w:val="none"/>
    </w:rPr>
  </w:style>
  <w:style w:type="character" w:customStyle="1" w:styleId="71">
    <w:name w:val="正文文本 (3)_"/>
    <w:basedOn w:val="24"/>
    <w:link w:val="72"/>
    <w:qFormat/>
    <w:uiPriority w:val="0"/>
    <w:rPr>
      <w:rFonts w:ascii="宋体" w:hAnsi="宋体" w:cs="宋体"/>
      <w:spacing w:val="-30"/>
      <w:sz w:val="44"/>
      <w:szCs w:val="44"/>
      <w:shd w:val="clear" w:color="auto" w:fill="FFFFFF"/>
    </w:rPr>
  </w:style>
  <w:style w:type="paragraph" w:customStyle="1" w:styleId="72">
    <w:name w:val="正文文本 (3)"/>
    <w:basedOn w:val="1"/>
    <w:link w:val="71"/>
    <w:qFormat/>
    <w:uiPriority w:val="0"/>
    <w:pPr>
      <w:shd w:val="clear" w:color="auto" w:fill="FFFFFF"/>
      <w:snapToGrid w:val="0"/>
      <w:spacing w:line="696" w:lineRule="exact"/>
      <w:ind w:firstLine="883"/>
      <w:jc w:val="center"/>
    </w:pPr>
    <w:rPr>
      <w:rFonts w:ascii="宋体" w:hAnsi="宋体" w:eastAsia="宋体" w:cs="宋体"/>
      <w:color w:val="auto"/>
      <w:spacing w:val="-30"/>
      <w:sz w:val="44"/>
      <w:szCs w:val="44"/>
    </w:rPr>
  </w:style>
  <w:style w:type="paragraph" w:customStyle="1" w:styleId="73">
    <w:name w:val="闻政标题3"/>
    <w:basedOn w:val="4"/>
    <w:qFormat/>
    <w:uiPriority w:val="0"/>
    <w:pPr>
      <w:snapToGrid w:val="0"/>
      <w:spacing w:before="120" w:after="60" w:line="500" w:lineRule="exact"/>
      <w:ind w:firstLine="0" w:firstLineChars="0"/>
      <w:jc w:val="left"/>
      <w:outlineLvl w:val="0"/>
    </w:pPr>
    <w:rPr>
      <w:rFonts w:ascii="黑体" w:hAnsi="黑体" w:eastAsia="黑体"/>
      <w:color w:val="auto"/>
      <w:kern w:val="2"/>
      <w:sz w:val="28"/>
      <w:szCs w:val="24"/>
    </w:rPr>
  </w:style>
  <w:style w:type="character" w:customStyle="1" w:styleId="74">
    <w:name w:val="font121"/>
    <w:basedOn w:val="24"/>
    <w:qFormat/>
    <w:uiPriority w:val="0"/>
    <w:rPr>
      <w:rFonts w:hint="default" w:ascii="Times New Roman" w:hAnsi="Times New Roman" w:cs="Times New Roman"/>
      <w:color w:val="000000"/>
      <w:sz w:val="20"/>
      <w:szCs w:val="20"/>
      <w:u w:val="none"/>
    </w:rPr>
  </w:style>
  <w:style w:type="paragraph" w:customStyle="1" w:styleId="75">
    <w:name w:val="表图标题☆"/>
    <w:next w:val="1"/>
    <w:qFormat/>
    <w:uiPriority w:val="0"/>
    <w:pPr>
      <w:adjustRightInd w:val="0"/>
      <w:snapToGrid w:val="0"/>
      <w:spacing w:line="500" w:lineRule="exact"/>
      <w:jc w:val="center"/>
    </w:pPr>
    <w:rPr>
      <w:rFonts w:ascii="Times New Roman" w:hAnsi="Times New Roman" w:eastAsia="仿宋_GB2312" w:cs="Times New Roman"/>
      <w:b/>
      <w:bCs/>
      <w:sz w:val="24"/>
      <w:szCs w:val="24"/>
      <w:lang w:val="en-US" w:eastAsia="zh-CN" w:bidi="ar-SA"/>
    </w:rPr>
  </w:style>
  <w:style w:type="paragraph" w:customStyle="1" w:styleId="76">
    <w:name w:val="二级☆"/>
    <w:next w:val="77"/>
    <w:qFormat/>
    <w:uiPriority w:val="0"/>
    <w:pPr>
      <w:adjustRightInd w:val="0"/>
      <w:snapToGrid w:val="0"/>
      <w:spacing w:before="120" w:after="60" w:line="500" w:lineRule="exact"/>
      <w:ind w:firstLine="200" w:firstLineChars="200"/>
      <w:jc w:val="both"/>
      <w:outlineLvl w:val="1"/>
    </w:pPr>
    <w:rPr>
      <w:rFonts w:ascii="Times New Roman" w:hAnsi="Times New Roman" w:eastAsia="仿宋_GB2312" w:cs="Times New Roman"/>
      <w:b/>
      <w:bCs/>
      <w:sz w:val="28"/>
      <w:szCs w:val="28"/>
      <w:lang w:val="en-US" w:eastAsia="zh-CN" w:bidi="ar-SA"/>
    </w:rPr>
  </w:style>
  <w:style w:type="paragraph" w:customStyle="1" w:styleId="77">
    <w:name w:val="三级☆"/>
    <w:next w:val="1"/>
    <w:qFormat/>
    <w:uiPriority w:val="0"/>
    <w:pPr>
      <w:adjustRightInd w:val="0"/>
      <w:snapToGrid w:val="0"/>
      <w:spacing w:line="500" w:lineRule="exact"/>
      <w:ind w:firstLine="200" w:firstLineChars="200"/>
      <w:jc w:val="both"/>
      <w:outlineLvl w:val="2"/>
    </w:pPr>
    <w:rPr>
      <w:rFonts w:ascii="Times New Roman" w:hAnsi="Times New Roman" w:eastAsia="仿宋_GB2312" w:cs="Times New Roman"/>
      <w:b/>
      <w:bCs/>
      <w:sz w:val="28"/>
      <w:szCs w:val="28"/>
      <w:lang w:val="en-US" w:eastAsia="zh-CN" w:bidi="ar-SA"/>
    </w:rPr>
  </w:style>
  <w:style w:type="paragraph" w:customStyle="1" w:styleId="78">
    <w:name w:val="表格内容☆"/>
    <w:next w:val="1"/>
    <w:qFormat/>
    <w:uiPriority w:val="0"/>
    <w:pPr>
      <w:adjustRightInd w:val="0"/>
      <w:snapToGrid w:val="0"/>
      <w:jc w:val="center"/>
    </w:pPr>
    <w:rPr>
      <w:rFonts w:ascii="Times New Roman" w:hAnsi="Times New Roman" w:eastAsia="仿宋_GB2312" w:cs="Times New Roman"/>
      <w:sz w:val="22"/>
      <w:szCs w:val="22"/>
      <w:lang w:val="en-US" w:eastAsia="zh-CN" w:bidi="ar-SA"/>
    </w:rPr>
  </w:style>
  <w:style w:type="paragraph" w:customStyle="1" w:styleId="79">
    <w:name w:val="列出段落1"/>
    <w:basedOn w:val="1"/>
    <w:qFormat/>
    <w:uiPriority w:val="0"/>
    <w:pPr>
      <w:snapToGrid w:val="0"/>
      <w:spacing w:line="590" w:lineRule="exact"/>
      <w:ind w:firstLine="420"/>
    </w:pPr>
    <w:rPr>
      <w:rFonts w:eastAsia="宋体"/>
      <w:color w:val="auto"/>
      <w:kern w:val="2"/>
    </w:rPr>
  </w:style>
  <w:style w:type="paragraph" w:customStyle="1" w:styleId="80">
    <w:name w:val="附件内标题"/>
    <w:basedOn w:val="1"/>
    <w:next w:val="1"/>
    <w:qFormat/>
    <w:uiPriority w:val="0"/>
    <w:pPr>
      <w:snapToGrid w:val="0"/>
      <w:spacing w:line="590" w:lineRule="exact"/>
      <w:ind w:firstLine="883"/>
    </w:pPr>
    <w:rPr>
      <w:rFonts w:eastAsia="方正仿宋_GBK"/>
      <w:b/>
      <w:bCs/>
      <w:color w:val="auto"/>
      <w:kern w:val="2"/>
      <w:szCs w:val="24"/>
    </w:rPr>
  </w:style>
  <w:style w:type="paragraph" w:customStyle="1" w:styleId="81">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3DD1E-6752-454F-80C6-594D792771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22096</Words>
  <Characters>24442</Characters>
  <Lines>171</Lines>
  <Paragraphs>48</Paragraphs>
  <TotalTime>7</TotalTime>
  <ScaleCrop>false</ScaleCrop>
  <LinksUpToDate>false</LinksUpToDate>
  <CharactersWithSpaces>24453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2024-06-28T02:58:00Z</dcterms:created>
  <dc:creator>沈余炎</dc:creator>
  <cp:lastModifiedBy>Gloria</cp:lastModifiedBy>
  <cp:lastPrinted>2025-06-23T07:28:00Z</cp:lastPrinted>
  <dcterms:modified xsi:type="dcterms:W3CDTF">2025-11-24T06:16:33Z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497B2994D9A34234BFAEF2B65917BC39_13</vt:lpwstr>
  </property>
  <property fmtid="{D5CDD505-2E9C-101B-9397-08002B2CF9AE}" pid="4" name="KSOTemplateDocerSaveRecord">
    <vt:lpwstr>eyJoZGlkIjoiZDUyOThlOGViMDQ0YzdiNWE1NjgwMDkxY2YyMTM0YjUiLCJ1c2VySWQiOiIyMTM0OTI0MzgifQ==</vt:lpwstr>
  </property>
</Properties>
</file>